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     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 xml:space="preserve">Управление муниципальными финансами </w:t>
      </w:r>
    </w:p>
    <w:p w14:paraId="0E000000">
      <w:pPr>
        <w:ind/>
        <w:jc w:val="both"/>
        <w:rPr>
          <w:sz w:val="28"/>
        </w:rPr>
      </w:pPr>
      <w:r>
        <w:rPr>
          <w:sz w:val="28"/>
        </w:rPr>
        <w:t xml:space="preserve">и создание условий для эффективного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sz w:val="28"/>
        </w:rPr>
        <w:t>управления муниципальными финансами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11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3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5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sz w:val="28"/>
        </w:rPr>
        <w:t xml:space="preserve">Управление муниципальными финансами </w:t>
      </w:r>
      <w:r>
        <w:rPr>
          <w:sz w:val="28"/>
        </w:rPr>
        <w:t>и создание усло</w:t>
      </w:r>
      <w:r>
        <w:rPr>
          <w:rStyle w:val="Style_1_ch"/>
          <w:rFonts w:ascii="Times New Roman" w:hAnsi="Times New Roman"/>
          <w:sz w:val="28"/>
        </w:rPr>
        <w:t xml:space="preserve">вий для эффективного </w:t>
      </w:r>
      <w:r>
        <w:rPr>
          <w:rStyle w:val="Style_1_ch"/>
          <w:rFonts w:ascii="Times New Roman" w:hAnsi="Times New Roman"/>
          <w:sz w:val="28"/>
        </w:rPr>
        <w:t>управления муниципальными финансами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6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2. Заведующему сектором экон</w:t>
      </w:r>
      <w:r>
        <w:rPr>
          <w:rFonts w:ascii="Times New Roman" w:hAnsi="Times New Roman"/>
          <w:sz w:val="28"/>
        </w:rPr>
        <w:t xml:space="preserve">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7000000">
      <w:pPr>
        <w:widowControl w:val="0"/>
        <w:ind/>
        <w:jc w:val="both"/>
      </w:pPr>
    </w:p>
    <w:p w14:paraId="18000000">
      <w:pPr>
        <w:widowControl w:val="0"/>
        <w:ind/>
        <w:jc w:val="both"/>
      </w:pP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3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4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6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 xml:space="preserve">Управление муниципальными финансами </w:t>
      </w:r>
    </w:p>
    <w:p w14:paraId="27000000">
      <w:pPr>
        <w:ind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 xml:space="preserve">и создание условий для эффективного </w:t>
      </w:r>
    </w:p>
    <w:p w14:paraId="28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управления муниципальными финансами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</w:t>
      </w:r>
      <w:r>
        <w:rPr>
          <w:rStyle w:val="Style_1_ch"/>
          <w:rFonts w:ascii="Times New Roman" w:hAnsi="Times New Roman"/>
          <w:sz w:val="20"/>
        </w:rPr>
        <w:t>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Style w:val="Style_1_ch"/>
          <w:rFonts w:ascii="Times New Roman" w:hAnsi="Times New Roman"/>
          <w:sz w:val="20"/>
        </w:rPr>
        <w:t>а</w:t>
      </w:r>
      <w:r>
        <w:rPr>
          <w:rStyle w:val="Style_1_ch"/>
          <w:rFonts w:ascii="Times New Roman" w:hAnsi="Times New Roman"/>
          <w:sz w:val="20"/>
        </w:rPr>
        <w:t xml:space="preserve"> </w:t>
      </w:r>
    </w:p>
    <w:p w14:paraId="29000000">
      <w:pPr>
        <w:spacing w:line="240" w:lineRule="auto"/>
        <w:ind w:right="-29"/>
        <w:jc w:val="center"/>
        <w:rPr>
          <w:sz w:val="24"/>
        </w:rPr>
      </w:pPr>
      <w:r>
        <w:rPr>
          <w:rStyle w:val="Style_1_ch"/>
          <w:sz w:val="24"/>
        </w:rPr>
        <w:t>Отчет</w:t>
      </w:r>
    </w:p>
    <w:p w14:paraId="2A000000">
      <w:pPr>
        <w:ind w:right="-29"/>
        <w:jc w:val="center"/>
        <w:rPr>
          <w:sz w:val="24"/>
        </w:rPr>
      </w:pPr>
      <w:r>
        <w:rPr>
          <w:rStyle w:val="Style_1_ch"/>
          <w:sz w:val="24"/>
        </w:rPr>
        <w:t>о ходе реализации муниципальной (комплексной) программы</w:t>
      </w:r>
      <w:r>
        <w:rPr>
          <w:rStyle w:val="Style_1_ch"/>
          <w:sz w:val="24"/>
        </w:rPr>
        <w:t xml:space="preserve"> </w:t>
      </w:r>
    </w:p>
    <w:p w14:paraId="2B000000">
      <w:pPr>
        <w:ind w:right="-29"/>
        <w:jc w:val="center"/>
        <w:rPr>
          <w:sz w:val="24"/>
        </w:rPr>
      </w:pPr>
      <w:r>
        <w:rPr>
          <w:rStyle w:val="Style_1_ch"/>
          <w:sz w:val="24"/>
        </w:rPr>
        <w:t>«</w:t>
      </w:r>
      <w:r>
        <w:rPr>
          <w:rStyle w:val="Style_1_ch"/>
          <w:sz w:val="24"/>
        </w:rPr>
        <w:t xml:space="preserve">Управление муниципальными финансами </w:t>
      </w:r>
      <w:r>
        <w:rPr>
          <w:rStyle w:val="Style_1_ch"/>
          <w:sz w:val="24"/>
        </w:rPr>
        <w:t xml:space="preserve">и создание условий для эффективного </w:t>
      </w:r>
      <w:r>
        <w:rPr>
          <w:rStyle w:val="Style_1_ch"/>
          <w:sz w:val="24"/>
        </w:rPr>
        <w:t>управления муниципальными финансами</w:t>
      </w:r>
      <w:r>
        <w:rPr>
          <w:rStyle w:val="Style_1_ch"/>
          <w:sz w:val="24"/>
        </w:rPr>
        <w:t>»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 xml:space="preserve">за </w:t>
      </w:r>
      <w:r>
        <w:rPr>
          <w:rStyle w:val="Style_1_ch"/>
          <w:sz w:val="24"/>
        </w:rPr>
        <w:t>I полугод</w:t>
      </w:r>
      <w:r>
        <w:rPr>
          <w:rStyle w:val="Style_1_ch"/>
          <w:sz w:val="24"/>
        </w:rPr>
        <w:t>ие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>20</w:t>
      </w:r>
      <w:r>
        <w:rPr>
          <w:rStyle w:val="Style_1_ch"/>
          <w:sz w:val="24"/>
        </w:rPr>
        <w:t xml:space="preserve">26 </w:t>
      </w:r>
      <w:r>
        <w:rPr>
          <w:rStyle w:val="Style_1_ch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095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763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Комплекс процессных мероприятий</w:t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"Нормативно-методическое обеспечение и организация бюджетного процесса"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"Оплата труда работников муниципальных органов обеспечена в полном объеме"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Недопущение просроченной кредиторской задолженности по выплате заработной платы сотрудникам, прочих выплат, перечисления взносов на оплату труда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12 548,7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12 548,7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4 703,1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«Обеспечены функции муниципальных органов»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Исполнение расходов  бюджета  </w:t>
            </w:r>
            <w:r>
              <w:rPr>
                <w:rFonts w:ascii="Times New Roman" w:hAnsi="Times New Roman"/>
                <w:sz w:val="24"/>
              </w:rPr>
              <w:t>Кагальниц</w:t>
            </w:r>
            <w:r>
              <w:rPr>
                <w:rFonts w:ascii="Times New Roman" w:hAnsi="Times New Roman"/>
                <w:sz w:val="24"/>
              </w:rPr>
              <w:t>кого сельского поселения Азовского района в части осуществления оплаты поставщикам, подрядчикам, исполнителям по муниципальным контрактам (договорам) в целях исполнения бюджета поселения</w:t>
            </w:r>
          </w:p>
          <w:p w14:paraId="5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1 723,1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1 723,1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1 091,5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«Проведена диспансеризация аппарата управления»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Получены паспорта здоровья работающих муниципальных служащих</w:t>
            </w:r>
          </w:p>
          <w:p w14:paraId="5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мероприятия запланирована на II полугодие 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«Проведена оценка муниципального имущества, признаны права и регулирование отношений недвижимости муниципальной собственности»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Проведена оценка муниципального имущества, признаны права и регулирование отношений недвижимости муниципальной собственности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0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(результат) «Уплачены налоги на имущество организаций, земельного налога, а также уплачены прочие налоги и </w:t>
            </w:r>
            <w:r>
              <w:rPr>
                <w:rFonts w:ascii="Times New Roman" w:hAnsi="Times New Roman"/>
                <w:sz w:val="24"/>
              </w:rPr>
              <w:t>сборы и иные платежи»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2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Уплачены налоги на имущество организаций, земельного налога, а также уплачены прочие налоги и сборы и иные платежи</w:t>
            </w:r>
          </w:p>
          <w:p w14:paraId="7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278,8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278,8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70,4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1177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«Выполнены другие обязательства»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C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Опубликованы нормативные акты сельского поселения, администрации в СМИ, оказаны услуги хостинга для работы официального сайта администрации 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82,1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82,1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26,9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763"/>
            <w:gridSpan w:val="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5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Комплекс процессных мероприятий</w:t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>Долгосрочное финансовое планирование</w:t>
            </w:r>
            <w:r>
              <w:rPr>
                <w:rStyle w:val="Style_1_ch"/>
                <w:rFonts w:ascii="Times New Roman" w:hAnsi="Times New Roman"/>
                <w:sz w:val="24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"Достигнута положительная динамика поступлений по налоговым и неналоговым доходам (в сопоставимых условиях)"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8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Перевыполнение плана поступлений налоговых и неналоговых доходов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rFonts w:ascii="Times New Roman" w:hAnsi="Times New Roman"/>
                <w:sz w:val="20"/>
              </w:rPr>
              <w:t xml:space="preserve">Исполнение бюджета поселения за первую половину 2026 года составило:  </w:t>
            </w:r>
            <w:r>
              <w:rPr>
                <w:rStyle w:val="Style_1_ch"/>
                <w:rFonts w:ascii="Times New Roman" w:hAnsi="Times New Roman"/>
                <w:sz w:val="20"/>
              </w:rPr>
              <w:t>по дохо</w:t>
            </w:r>
            <w:r>
              <w:rPr>
                <w:rStyle w:val="Style_1_ch"/>
                <w:rFonts w:ascii="Times New Roman" w:hAnsi="Times New Roman"/>
                <w:sz w:val="20"/>
              </w:rPr>
              <w:t>дам – 12 484 521 рубль, или 35,5 процентов к годовому плану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0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"Отменены неэффективные местные налоговые льготы, реализованы меры по оптимизации налоговых льгот"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2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Проведена оценка эффективности налоговых расходов </w:t>
            </w:r>
            <w:r>
              <w:rPr>
                <w:rFonts w:ascii="Times New Roman" w:hAnsi="Times New Roman"/>
                <w:sz w:val="24"/>
              </w:rPr>
              <w:t>Кагальниц</w:t>
            </w:r>
            <w:r>
              <w:rPr>
                <w:rFonts w:ascii="Times New Roman" w:hAnsi="Times New Roman"/>
                <w:sz w:val="24"/>
              </w:rPr>
              <w:t>кого сельского поселения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9000000">
            <w:pPr>
              <w:tabs>
                <w:tab w:leader="none" w:pos="317" w:val="left"/>
              </w:tabs>
              <w:spacing w:after="200"/>
              <w:ind w:firstLine="0" w:left="3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rFonts w:ascii="Times New Roman" w:hAnsi="Times New Roman"/>
                <w:sz w:val="20"/>
              </w:rPr>
              <w:t xml:space="preserve">Оценка предоставленных налоговых льгот по местным налогам проведена и утверждена Постановлением Администрации </w:t>
            </w:r>
            <w:r>
              <w:rPr>
                <w:rStyle w:val="Style_1_ch"/>
                <w:rFonts w:ascii="Times New Roman" w:hAnsi="Times New Roman"/>
                <w:sz w:val="20"/>
              </w:rPr>
              <w:t>Кагальницкого</w:t>
            </w:r>
            <w:r>
              <w:rPr>
                <w:rStyle w:val="Style_1_ch"/>
                <w:rFonts w:ascii="Times New Roman" w:hAnsi="Times New Roman"/>
                <w:sz w:val="20"/>
              </w:rPr>
              <w:t xml:space="preserve"> сельского поселения от 19.08.2025г. №108</w:t>
            </w:r>
          </w:p>
          <w:p w14:paraId="9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15415"/>
            <w:gridSpan w:val="10"/>
            <w:tcBorders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B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</w:rPr>
              <w:t xml:space="preserve">"Управление муниципальным  долгом </w:t>
            </w:r>
            <w:r>
              <w:rPr>
                <w:rFonts w:ascii="Times New Roman" w:hAnsi="Times New Roman"/>
                <w:sz w:val="24"/>
              </w:rPr>
              <w:t>Кагальниц</w:t>
            </w:r>
            <w:r>
              <w:rPr>
                <w:rFonts w:ascii="Times New Roman" w:hAnsi="Times New Roman"/>
                <w:sz w:val="24"/>
              </w:rPr>
              <w:t>кого сельского поселения"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widowControl w:val="0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(результат) 1. Проведена единая политика муниципальных заимствований </w:t>
            </w:r>
            <w:r>
              <w:rPr>
                <w:rFonts w:ascii="Times New Roman" w:hAnsi="Times New Roman"/>
                <w:sz w:val="24"/>
              </w:rPr>
              <w:t>Кагальниц</w:t>
            </w:r>
            <w:r>
              <w:rPr>
                <w:rFonts w:ascii="Times New Roman" w:hAnsi="Times New Roman"/>
                <w:sz w:val="24"/>
              </w:rPr>
              <w:t xml:space="preserve">кого сельского поселения, управления муниципальным долгом в соответствии с Бюджетным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"https://login.consultant.ru/link/?req=doc&amp;base=LAW&amp;n=480810"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кодексом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Российской Федерации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E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Получен бюджетный кредит из областного, районного бюджета. </w:t>
            </w:r>
            <w:r>
              <w:rPr>
                <w:rFonts w:ascii="Times New Roman" w:hAnsi="Times New Roman"/>
                <w:sz w:val="24"/>
              </w:rPr>
              <w:t>Исполнены долговые обязательства по возврату основного долга по соглашениям (договорам)</w:t>
            </w:r>
          </w:p>
          <w:p w14:paraId="A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Муниципальные заимствования и </w:t>
            </w:r>
            <w:r>
              <w:rPr>
                <w:rFonts w:ascii="Times New Roman" w:hAnsi="Times New Roman"/>
                <w:sz w:val="20"/>
              </w:rPr>
              <w:t>муниципальный долг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Кагальниц</w:t>
            </w:r>
            <w:r>
              <w:rPr>
                <w:rFonts w:ascii="Times New Roman" w:hAnsi="Times New Roman"/>
                <w:sz w:val="20"/>
              </w:rPr>
              <w:t>кого сельского поселения отсутствует.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7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8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B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C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14 717,7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14 717,7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5 911,9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B1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2026-07-14T06:37:26Z</dcterms:modified>
</cp:coreProperties>
</file>