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ПРОЕКТ</w:t>
      </w:r>
    </w:p>
    <w:p w14:paraId="02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РОССИЙСКАЯ ФЕДЕРАЦИЯ</w:t>
      </w:r>
    </w:p>
    <w:p w14:paraId="03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РОСТОВСКАЯ ОБЛАСТЬ АЗОВСКИЙ РАЙОН</w:t>
      </w:r>
    </w:p>
    <w:p w14:paraId="04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АДМИНИСТРАЦИЯ </w:t>
      </w:r>
    </w:p>
    <w:p w14:paraId="05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ПОСТАНОВЛЕНИЕ</w:t>
      </w:r>
    </w:p>
    <w:p w14:paraId="07000000">
      <w:pPr>
        <w:rPr>
          <w:rFonts w:ascii="Times New Roman" w:hAnsi="Times New Roman"/>
        </w:rPr>
      </w:pPr>
    </w:p>
    <w:p w14:paraId="08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«______» июля 2026</w:t>
      </w:r>
      <w:r>
        <w:rPr>
          <w:rFonts w:ascii="Times New Roman" w:hAnsi="Times New Roman"/>
        </w:rPr>
        <w:t xml:space="preserve"> г.                         № ___                                          с. </w:t>
      </w:r>
      <w:r>
        <w:rPr>
          <w:rFonts w:ascii="Times New Roman" w:hAnsi="Times New Roman"/>
        </w:rPr>
        <w:t>Кагальник</w:t>
      </w:r>
    </w:p>
    <w:p w14:paraId="09000000">
      <w:pPr>
        <w:ind/>
        <w:contextualSpacing w:val="1"/>
        <w:rPr>
          <w:rFonts w:ascii="Times New Roman" w:hAnsi="Times New Roman"/>
        </w:rPr>
      </w:pPr>
    </w:p>
    <w:p w14:paraId="0A000000">
      <w:pPr>
        <w:ind/>
        <w:contextualSpacing w:val="1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Об утверждении отчета</w:t>
      </w:r>
    </w:p>
    <w:p w14:paraId="0B000000">
      <w:pPr>
        <w:ind/>
        <w:contextualSpacing w:val="1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о ходе реализации муниципальной </w:t>
      </w:r>
    </w:p>
    <w:p w14:paraId="0C000000">
      <w:pPr>
        <w:ind/>
        <w:contextualSpacing w:val="1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(комплексной) программы </w:t>
      </w:r>
    </w:p>
    <w:p w14:paraId="0D000000">
      <w:pPr>
        <w:ind/>
        <w:contextualSpacing w:val="1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«</w:t>
      </w:r>
      <w:r>
        <w:rPr>
          <w:rFonts w:ascii="Times New Roman" w:hAnsi="Times New Roman"/>
        </w:rPr>
        <w:t>Участие в предупреждении и ликвидации</w:t>
      </w:r>
    </w:p>
    <w:p w14:paraId="0E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последствий чрезвычайных ситуаций в границах </w:t>
      </w:r>
    </w:p>
    <w:p w14:paraId="0F000000">
      <w:pPr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поселения, пожарной безопасности</w:t>
      </w:r>
      <w:r>
        <w:rPr>
          <w:rStyle w:val="Style_1_ch"/>
          <w:rFonts w:ascii="Times New Roman" w:hAnsi="Times New Roman"/>
        </w:rPr>
        <w:t xml:space="preserve">» </w:t>
      </w:r>
    </w:p>
    <w:p w14:paraId="10000000">
      <w:pPr>
        <w:ind/>
        <w:contextualSpacing w:val="1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за I полугодие 2026 года</w:t>
      </w:r>
    </w:p>
    <w:p w14:paraId="11000000">
      <w:pPr>
        <w:ind/>
        <w:contextualSpacing w:val="1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 </w:t>
      </w:r>
    </w:p>
    <w:p w14:paraId="12000000">
      <w:pPr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постановлением Администрации </w:t>
      </w:r>
      <w:r>
        <w:rPr>
          <w:rFonts w:ascii="Times New Roman" w:hAnsi="Times New Roman"/>
        </w:rPr>
        <w:t>Кагал</w:t>
      </w:r>
      <w:r>
        <w:rPr>
          <w:rFonts w:ascii="Times New Roman" w:hAnsi="Times New Roman"/>
        </w:rPr>
        <w:t>ьницкого</w:t>
      </w:r>
      <w:r>
        <w:rPr>
          <w:rFonts w:ascii="Times New Roman" w:hAnsi="Times New Roman"/>
        </w:rPr>
        <w:t xml:space="preserve"> сельского поселения от 22.10.2018 № 134 «Об утверждении Порядка разработки, реализации и оценки эффективности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от 22.10.2018 г. №135 «Об утверждении Методических рекомендаций по разработке </w:t>
      </w:r>
      <w:r>
        <w:rPr>
          <w:rFonts w:ascii="Times New Roman" w:hAnsi="Times New Roman"/>
        </w:rPr>
        <w:t xml:space="preserve">и реализации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распоряжения от 17.10.2018 г. №41 «Об утверждении Перечня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Азовского района Ростовской области», Администрация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</w:t>
      </w:r>
      <w:r>
        <w:rPr>
          <w:rFonts w:ascii="Times New Roman" w:hAnsi="Times New Roman"/>
        </w:rPr>
        <w:t xml:space="preserve">ьского поселения </w:t>
      </w:r>
    </w:p>
    <w:p w14:paraId="13000000">
      <w:pPr>
        <w:ind w:firstLine="567" w:left="0"/>
        <w:rPr>
          <w:rFonts w:ascii="Times New Roman" w:hAnsi="Times New Roman"/>
        </w:rPr>
      </w:pPr>
    </w:p>
    <w:p w14:paraId="14000000">
      <w:pPr>
        <w:ind/>
        <w:jc w:val="center"/>
      </w:pPr>
      <w:r>
        <w:t>ПОСТАНОВЛЯЕТ:</w:t>
      </w:r>
    </w:p>
    <w:p w14:paraId="15000000">
      <w:pPr>
        <w:ind w:firstLine="709" w:left="0"/>
        <w:contextualSpacing w:val="1"/>
      </w:pPr>
      <w:r>
        <w:rPr>
          <w:rFonts w:ascii="Times New Roman" w:hAnsi="Times New Roman"/>
        </w:rPr>
        <w:t xml:space="preserve">1. Утвердить отчет о реализации муниципальной программы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 «Участие в предупреждении и ликвидации</w:t>
      </w:r>
    </w:p>
    <w:p w14:paraId="16000000">
      <w:pPr>
        <w:rPr>
          <w:rFonts w:ascii="Times New Roman" w:hAnsi="Times New Roman"/>
        </w:rPr>
      </w:pPr>
      <w:r>
        <w:rPr>
          <w:rFonts w:ascii="Times New Roman" w:hAnsi="Times New Roman"/>
        </w:rPr>
        <w:t>последствий</w:t>
      </w:r>
      <w:r>
        <w:rPr>
          <w:rStyle w:val="Style_1_ch"/>
          <w:rFonts w:ascii="Times New Roman" w:hAnsi="Times New Roman"/>
        </w:rPr>
        <w:t xml:space="preserve"> чрезвычайных ситуаций в границах поселения, пожарной безопасности» за I полугодие</w:t>
      </w:r>
      <w:r>
        <w:rPr>
          <w:rStyle w:val="Style_1_ch"/>
          <w:rFonts w:ascii="Times New Roman" w:hAnsi="Times New Roman"/>
        </w:rPr>
        <w:t xml:space="preserve"> 2026 года, согласно приложе</w:t>
      </w:r>
      <w:r>
        <w:rPr>
          <w:rFonts w:ascii="Times New Roman" w:hAnsi="Times New Roman"/>
        </w:rPr>
        <w:t xml:space="preserve">нию к настоящему постановлению. </w:t>
      </w:r>
    </w:p>
    <w:p w14:paraId="17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Заведующему сектором экономики и финансов </w:t>
      </w:r>
      <w:r>
        <w:rPr>
          <w:rFonts w:ascii="Times New Roman" w:hAnsi="Times New Roman"/>
        </w:rPr>
        <w:t>Куцкевич</w:t>
      </w:r>
      <w:r>
        <w:rPr>
          <w:rFonts w:ascii="Times New Roman" w:hAnsi="Times New Roman"/>
        </w:rPr>
        <w:t xml:space="preserve"> Е.И. </w:t>
      </w:r>
      <w:r>
        <w:rPr>
          <w:rFonts w:ascii="Times New Roman" w:hAnsi="Times New Roman"/>
        </w:rPr>
        <w:t>разместить</w:t>
      </w:r>
      <w:r>
        <w:rPr>
          <w:rFonts w:ascii="Times New Roman" w:hAnsi="Times New Roman"/>
        </w:rPr>
        <w:t xml:space="preserve"> настоящее постановление на официальном сайте Администрации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 </w:t>
      </w:r>
      <w:r>
        <w:rPr>
          <w:rStyle w:val="Style_2_ch"/>
          <w:rFonts w:ascii="Times New Roman" w:hAnsi="Times New Roman"/>
        </w:rPr>
        <w:fldChar w:fldCharType="begin"/>
      </w:r>
      <w:r>
        <w:rPr>
          <w:rStyle w:val="Style_2_ch"/>
          <w:rFonts w:ascii="Times New Roman" w:hAnsi="Times New Roman"/>
        </w:rPr>
        <w:instrText>HYPERLINK "http://www.kagalnickoe.ru"</w:instrText>
      </w:r>
      <w:r>
        <w:rPr>
          <w:rStyle w:val="Style_2_ch"/>
          <w:rFonts w:ascii="Times New Roman" w:hAnsi="Times New Roman"/>
        </w:rPr>
        <w:fldChar w:fldCharType="separate"/>
      </w:r>
      <w:r>
        <w:rPr>
          <w:rStyle w:val="Style_2_ch"/>
          <w:rFonts w:ascii="Times New Roman" w:hAnsi="Times New Roman"/>
        </w:rPr>
        <w:t>www.kagalnickoe.ru</w:t>
      </w:r>
      <w:r>
        <w:rPr>
          <w:rStyle w:val="Style_2_ch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>.</w:t>
      </w:r>
    </w:p>
    <w:p w14:paraId="18000000">
      <w:pPr>
        <w:widowControl w:val="0"/>
        <w:ind/>
      </w:pPr>
    </w:p>
    <w:p w14:paraId="19000000">
      <w:pPr>
        <w:widowControl w:val="0"/>
        <w:ind/>
      </w:pPr>
    </w:p>
    <w:p w14:paraId="1A000000">
      <w:pPr>
        <w:rPr>
          <w:rFonts w:ascii="Times New Roman" w:hAnsi="Times New Roman"/>
        </w:rPr>
      </w:pPr>
      <w:r>
        <w:rPr>
          <w:rFonts w:ascii="Times New Roman" w:hAnsi="Times New Roman"/>
        </w:rPr>
        <w:t>Глава Администрации</w:t>
      </w:r>
    </w:p>
    <w:p w14:paraId="1B000000">
      <w:pPr>
        <w:rPr>
          <w:rFonts w:ascii="Times New Roman" w:hAnsi="Times New Roman"/>
        </w:rPr>
      </w:pP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                                                      </w:t>
      </w:r>
      <w:r>
        <w:rPr>
          <w:rFonts w:ascii="Times New Roman" w:hAnsi="Times New Roman"/>
        </w:rPr>
        <w:t>К.А.Малерян</w:t>
      </w:r>
      <w:r>
        <w:rPr>
          <w:rFonts w:ascii="Times New Roman" w:hAnsi="Times New Roman"/>
        </w:rPr>
        <w:t xml:space="preserve">                               </w:t>
      </w:r>
    </w:p>
    <w:p w14:paraId="1C000000">
      <w:pPr>
        <w:ind/>
        <w:jc w:val="right"/>
        <w:rPr>
          <w:rFonts w:ascii="Times New Roman" w:hAnsi="Times New Roman"/>
        </w:rPr>
      </w:pPr>
    </w:p>
    <w:p w14:paraId="1D000000">
      <w:pPr>
        <w:ind/>
        <w:jc w:val="right"/>
        <w:rPr>
          <w:rFonts w:ascii="Times New Roman" w:hAnsi="Times New Roman"/>
        </w:rPr>
      </w:pPr>
    </w:p>
    <w:p w14:paraId="1E000000">
      <w:pPr>
        <w:ind/>
        <w:jc w:val="right"/>
        <w:rPr>
          <w:rFonts w:ascii="Times New Roman" w:hAnsi="Times New Roman"/>
        </w:rPr>
      </w:pPr>
    </w:p>
    <w:p w14:paraId="1F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20000000">
      <w:pPr>
        <w:ind/>
        <w:contextualSpacing w:val="1"/>
        <w:jc w:val="right"/>
        <w:rPr>
          <w:rFonts w:ascii="Times New Roman" w:hAnsi="Times New Roman"/>
          <w:sz w:val="24"/>
        </w:rPr>
      </w:pPr>
    </w:p>
    <w:p w14:paraId="21000000">
      <w:pPr>
        <w:sectPr>
          <w:pgSz w:h="16838" w:orient="portrait" w:w="11906"/>
          <w:pgMar w:bottom="1134" w:footer="720" w:gutter="0" w:header="720" w:left="1304" w:right="737" w:top="1134"/>
        </w:sectPr>
      </w:pPr>
    </w:p>
    <w:p w14:paraId="22000000">
      <w:pPr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к проекту постановления</w:t>
      </w:r>
    </w:p>
    <w:p w14:paraId="23000000">
      <w:pPr>
        <w:ind w:firstLine="709" w:lef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Администрации </w:t>
      </w:r>
      <w:r>
        <w:rPr>
          <w:rFonts w:ascii="Times New Roman" w:hAnsi="Times New Roman"/>
          <w:sz w:val="20"/>
        </w:rPr>
        <w:t>Кагальницкого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сельского поселения</w:t>
      </w:r>
    </w:p>
    <w:p w14:paraId="24000000">
      <w:pPr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«Об утверждении отчета о реализации </w:t>
      </w:r>
    </w:p>
    <w:p w14:paraId="25000000">
      <w:pPr>
        <w:widowControl w:val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</w:t>
      </w:r>
      <w:r>
        <w:rPr>
          <w:rFonts w:ascii="Times New Roman" w:hAnsi="Times New Roman"/>
          <w:sz w:val="20"/>
        </w:rPr>
        <w:t>Кагальницкого</w:t>
      </w:r>
      <w:r>
        <w:rPr>
          <w:rFonts w:ascii="Times New Roman" w:hAnsi="Times New Roman"/>
          <w:sz w:val="20"/>
        </w:rPr>
        <w:t xml:space="preserve"> сельского поселения </w:t>
      </w:r>
    </w:p>
    <w:p w14:paraId="26000000">
      <w:pPr>
        <w:widowControl w:val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Участие в предупреждении и ликвидации</w:t>
      </w:r>
    </w:p>
    <w:p w14:paraId="27000000">
      <w:pPr>
        <w:ind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 xml:space="preserve">последствий чрезвычайных ситуаций в границах </w:t>
      </w:r>
    </w:p>
    <w:p w14:paraId="28000000">
      <w:pPr>
        <w:widowControl w:val="0"/>
        <w:ind/>
        <w:contextualSpacing w:val="1"/>
        <w:jc w:val="right"/>
        <w:rPr>
          <w:sz w:val="20"/>
        </w:rPr>
      </w:pPr>
      <w:r>
        <w:rPr>
          <w:rStyle w:val="Style_1_ch"/>
          <w:rFonts w:ascii="Times New Roman" w:hAnsi="Times New Roman"/>
          <w:sz w:val="20"/>
        </w:rPr>
        <w:t>поселения, пожарной безопасности» з</w:t>
      </w:r>
      <w:r>
        <w:rPr>
          <w:rStyle w:val="Style_1_ch"/>
          <w:rFonts w:ascii="Times New Roman" w:hAnsi="Times New Roman"/>
          <w:sz w:val="20"/>
        </w:rPr>
        <w:t>а I полугодие 2026 год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</w:rPr>
        <w:t xml:space="preserve"> </w:t>
      </w:r>
    </w:p>
    <w:p w14:paraId="29000000">
      <w:pPr>
        <w:ind w:right="-29"/>
        <w:jc w:val="center"/>
        <w:rPr>
          <w:sz w:val="24"/>
        </w:rPr>
      </w:pPr>
      <w:r>
        <w:rPr>
          <w:sz w:val="24"/>
        </w:rPr>
        <w:t>Отчет</w:t>
      </w:r>
    </w:p>
    <w:p w14:paraId="2A000000">
      <w:pPr>
        <w:ind w:right="-29"/>
        <w:jc w:val="center"/>
        <w:rPr>
          <w:sz w:val="24"/>
        </w:rPr>
      </w:pPr>
      <w:r>
        <w:rPr>
          <w:sz w:val="24"/>
        </w:rPr>
        <w:t xml:space="preserve">о ходе реализации муниципальной (комплексной) программы </w:t>
      </w:r>
    </w:p>
    <w:p w14:paraId="2B000000">
      <w:pPr>
        <w:ind w:right="-29"/>
        <w:jc w:val="center"/>
        <w:rPr>
          <w:sz w:val="24"/>
        </w:rPr>
      </w:pPr>
      <w:r>
        <w:rPr>
          <w:sz w:val="24"/>
        </w:rPr>
        <w:t>«</w:t>
      </w:r>
      <w:r>
        <w:rPr>
          <w:rFonts w:ascii="Times New Roman" w:hAnsi="Times New Roman"/>
          <w:sz w:val="24"/>
        </w:rPr>
        <w:t xml:space="preserve">Участие в предупреждении и ликвидации последствий чрезвычайных ситуаций в границах </w:t>
      </w:r>
    </w:p>
    <w:p w14:paraId="2C000000">
      <w:pPr>
        <w:ind w:right="-29"/>
        <w:jc w:val="center"/>
        <w:rPr>
          <w:sz w:val="24"/>
        </w:rPr>
      </w:pPr>
      <w:r>
        <w:rPr>
          <w:rFonts w:ascii="Times New Roman" w:hAnsi="Times New Roman"/>
          <w:sz w:val="24"/>
        </w:rPr>
        <w:t>поселения, пожарно</w:t>
      </w:r>
      <w:r>
        <w:rPr>
          <w:rStyle w:val="Style_1_ch"/>
          <w:sz w:val="24"/>
        </w:rPr>
        <w:t>й безопасности» за I полугодие 2026 года</w:t>
      </w:r>
    </w:p>
    <w:tbl>
      <w:tblPr>
        <w:tblStyle w:val="Style_3"/>
        <w:tblInd w:type="dxa" w:w="-634"/>
        <w:tblLayout w:type="fixed"/>
        <w:tblCellMar>
          <w:left w:type="dxa" w:w="75"/>
          <w:right w:type="dxa" w:w="75"/>
        </w:tblCellMar>
      </w:tblPr>
      <w:tblGrid>
        <w:gridCol w:w="652"/>
        <w:gridCol w:w="2302"/>
        <w:gridCol w:w="1675"/>
        <w:gridCol w:w="2457"/>
        <w:gridCol w:w="1401"/>
        <w:gridCol w:w="1403"/>
        <w:gridCol w:w="1682"/>
        <w:gridCol w:w="1121"/>
        <w:gridCol w:w="941"/>
        <w:gridCol w:w="1807"/>
      </w:tblGrid>
      <w:tr>
        <w:trPr>
          <w:trHeight w:hRule="atLeast" w:val="854"/>
        </w:trPr>
        <w:tc>
          <w:tcPr>
            <w:tcW w:type="dxa" w:w="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п</w:t>
            </w:r>
          </w:p>
        </w:tc>
        <w:tc>
          <w:tcPr>
            <w:tcW w:type="dxa" w:w="23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и наименован</w:t>
            </w:r>
            <w:r>
              <w:rPr>
                <w:rFonts w:ascii="Times New Roman" w:hAnsi="Times New Roman"/>
                <w:sz w:val="20"/>
              </w:rPr>
              <w:t>ие</w:t>
            </w:r>
          </w:p>
          <w:p w14:paraId="2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0000000">
            <w:pPr>
              <w:ind w:firstLine="0" w:left="-75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Ответственный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 исполнитель, соисполнитель, участник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(должность/ ФИО) </w:t>
            </w:r>
          </w:p>
        </w:tc>
        <w:tc>
          <w:tcPr>
            <w:tcW w:type="dxa" w:w="24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</w:t>
            </w:r>
          </w:p>
        </w:tc>
        <w:tc>
          <w:tcPr>
            <w:tcW w:type="dxa" w:w="14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00000">
            <w:pPr>
              <w:ind w:firstLine="0" w:left="-74" w:righ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Фактическая дата начала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реализации</w:t>
            </w:r>
          </w:p>
        </w:tc>
        <w:tc>
          <w:tcPr>
            <w:tcW w:type="dxa" w:w="14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Фактическая дата окончания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реализации,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наступления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контрольного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события</w:t>
            </w:r>
          </w:p>
        </w:tc>
        <w:tc>
          <w:tcPr>
            <w:tcW w:type="dxa" w:w="37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Расходы бюджетов на реализацию муниципальной </w:t>
            </w:r>
            <w:r>
              <w:rPr>
                <w:rFonts w:ascii="Times New Roman" w:hAnsi="Times New Roman"/>
                <w:sz w:val="20"/>
              </w:rPr>
              <w:t>(комплексной) программы, тыс. рублей</w:t>
            </w:r>
          </w:p>
        </w:tc>
        <w:tc>
          <w:tcPr>
            <w:tcW w:type="dxa" w:w="18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Причины не освоения средств (риски)</w:t>
            </w:r>
          </w:p>
        </w:tc>
      </w:tr>
      <w:tr>
        <w:trPr>
          <w:trHeight w:hRule="atLeast" w:val="720"/>
        </w:trPr>
        <w:tc>
          <w:tcPr>
            <w:tcW w:type="dxa" w:w="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3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4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6000000">
            <w:pPr>
              <w:ind w:firstLine="0" w:lef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предусмотрено</w:t>
            </w:r>
          </w:p>
          <w:p w14:paraId="3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муниципальной программой</w:t>
            </w:r>
          </w:p>
        </w:tc>
        <w:tc>
          <w:tcPr>
            <w:tcW w:type="dxa" w:w="112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предусмотрено сводной бюджетной росписью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факт на отчетную дату </w:t>
            </w:r>
          </w:p>
        </w:tc>
        <w:tc>
          <w:tcPr>
            <w:tcW w:type="dxa" w:w="18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</w:tr>
      <w:t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30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67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45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40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40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12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0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789"/>
            <w:gridSpan w:val="9"/>
            <w:tcBorders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Комплекс процессных мероприятий "</w:t>
            </w:r>
            <w:r>
              <w:rPr>
                <w:rFonts w:ascii="Times New Roman" w:hAnsi="Times New Roman"/>
                <w:sz w:val="22"/>
              </w:rPr>
              <w:t xml:space="preserve">Пожарная </w:t>
            </w:r>
            <w:r>
              <w:rPr>
                <w:rFonts w:ascii="Times New Roman" w:hAnsi="Times New Roman"/>
                <w:sz w:val="22"/>
              </w:rPr>
              <w:t>безопасность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6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1.1    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7000000">
            <w:pPr>
              <w:widowControl w:val="0"/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Мероприятие (результат) 1. «Прохождение обучения»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8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Зам. </w:t>
            </w:r>
            <w:r>
              <w:rPr>
                <w:rFonts w:ascii="Times New Roman" w:hAnsi="Times New Roman"/>
                <w:sz w:val="22"/>
              </w:rPr>
              <w:t xml:space="preserve">Главы </w:t>
            </w:r>
            <w:r>
              <w:rPr>
                <w:rFonts w:ascii="Times New Roman" w:hAnsi="Times New Roman"/>
                <w:sz w:val="22"/>
              </w:rPr>
              <w:t>Аминистрации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Фридриков</w:t>
            </w:r>
            <w:r>
              <w:rPr>
                <w:rFonts w:ascii="Times New Roman" w:hAnsi="Times New Roman"/>
                <w:sz w:val="22"/>
              </w:rPr>
              <w:t xml:space="preserve"> В.А. 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9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Style w:val="Style_1_ch"/>
                <w:rFonts w:ascii="Times New Roman" w:hAnsi="Times New Roman"/>
                <w:sz w:val="22"/>
              </w:rPr>
              <w:t xml:space="preserve">Заключение договора на обучение (повышение квалификации, </w:t>
            </w:r>
            <w:r>
              <w:rPr>
                <w:rStyle w:val="Style_1_ch"/>
                <w:rFonts w:ascii="Times New Roman" w:hAnsi="Times New Roman"/>
                <w:sz w:val="22"/>
              </w:rPr>
              <w:t>профподготовку</w:t>
            </w:r>
            <w:r>
              <w:rPr>
                <w:rStyle w:val="Style_1_ch"/>
                <w:rFonts w:ascii="Times New Roman" w:hAnsi="Times New Roman"/>
                <w:sz w:val="22"/>
              </w:rPr>
              <w:t>, переподготовку, переквалификацию)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A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B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C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D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E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F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Сокращение расходов </w:t>
            </w:r>
          </w:p>
        </w:tc>
      </w:tr>
      <w:tr>
        <w:trPr>
          <w:trHeight w:hRule="atLeast" w:val="611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0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1.2  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1000000">
            <w:pPr>
              <w:widowControl w:val="0"/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Мероприятие (результат) 2. «Приобретение товаров, работ, услуг для обеспечения пожарной безопасности»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2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Зам. </w:t>
            </w:r>
            <w:r>
              <w:rPr>
                <w:rFonts w:ascii="Times New Roman" w:hAnsi="Times New Roman"/>
                <w:sz w:val="22"/>
              </w:rPr>
              <w:t xml:space="preserve">Главы </w:t>
            </w:r>
            <w:r>
              <w:rPr>
                <w:rFonts w:ascii="Times New Roman" w:hAnsi="Times New Roman"/>
                <w:sz w:val="22"/>
              </w:rPr>
              <w:t>Аминистрации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Фридриков</w:t>
            </w:r>
            <w:r>
              <w:rPr>
                <w:rFonts w:ascii="Times New Roman" w:hAnsi="Times New Roman"/>
                <w:sz w:val="22"/>
              </w:rPr>
              <w:t xml:space="preserve"> В.А. </w:t>
            </w:r>
          </w:p>
          <w:p w14:paraId="53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4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Style w:val="Style_1_ch"/>
                <w:rFonts w:ascii="Times New Roman" w:hAnsi="Times New Roman"/>
                <w:sz w:val="22"/>
              </w:rPr>
              <w:t>Приобретение основных средств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5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6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7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8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9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</w:t>
            </w:r>
            <w:r>
              <w:rPr>
                <w:rFonts w:ascii="Times New Roman" w:hAnsi="Times New Roman"/>
                <w:sz w:val="22"/>
              </w:rPr>
              <w:t>,0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A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Реализация мероприятия запланирована на II полугодие 2026 года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B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30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C000000">
            <w:pPr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Итого по муниципальной (комплексной) программе</w:t>
            </w:r>
          </w:p>
        </w:tc>
        <w:tc>
          <w:tcPr>
            <w:tcW w:type="dxa" w:w="16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D00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X</w:t>
            </w:r>
          </w:p>
        </w:tc>
        <w:tc>
          <w:tcPr>
            <w:tcW w:type="dxa" w:w="245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E00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X</w:t>
            </w:r>
          </w:p>
        </w:tc>
        <w:tc>
          <w:tcPr>
            <w:tcW w:type="dxa" w:w="14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F00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X</w:t>
            </w:r>
          </w:p>
        </w:tc>
        <w:tc>
          <w:tcPr>
            <w:tcW w:type="dxa" w:w="140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000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X</w:t>
            </w:r>
          </w:p>
        </w:tc>
        <w:tc>
          <w:tcPr>
            <w:tcW w:type="dxa" w:w="168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1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</w:p>
          <w:p w14:paraId="6200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1</w:t>
            </w:r>
            <w:r>
              <w:rPr>
                <w:rFonts w:ascii="Times New Roman" w:hAnsi="Times New Roman"/>
                <w:b w:val="1"/>
                <w:sz w:val="22"/>
              </w:rPr>
              <w:t>0,0</w:t>
            </w:r>
          </w:p>
        </w:tc>
        <w:tc>
          <w:tcPr>
            <w:tcW w:type="dxa" w:w="112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300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</w:p>
          <w:p w14:paraId="6400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1</w:t>
            </w:r>
            <w:r>
              <w:rPr>
                <w:rFonts w:ascii="Times New Roman" w:hAnsi="Times New Roman"/>
                <w:b w:val="1"/>
                <w:sz w:val="22"/>
              </w:rPr>
              <w:t>0,0</w:t>
            </w:r>
          </w:p>
          <w:p w14:paraId="65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94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600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</w:p>
          <w:p w14:paraId="67000000">
            <w:pPr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0</w:t>
            </w:r>
            <w:r>
              <w:rPr>
                <w:rFonts w:ascii="Times New Roman" w:hAnsi="Times New Roman"/>
                <w:b w:val="1"/>
                <w:sz w:val="22"/>
              </w:rPr>
              <w:t>,0</w:t>
            </w:r>
          </w:p>
        </w:tc>
        <w:tc>
          <w:tcPr>
            <w:tcW w:type="dxa" w:w="180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8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X</w:t>
            </w:r>
          </w:p>
        </w:tc>
      </w:tr>
    </w:tbl>
    <w:p w14:paraId="69000000"/>
    <w:sectPr>
      <w:pgSz w:h="11908" w:orient="landscape" w:w="16848"/>
      <w:pgMar w:bottom="569" w:footer="708" w:gutter="0" w:header="708" w:left="1304" w:right="737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ind/>
      <w:jc w:val="both"/>
    </w:pPr>
    <w:rPr>
      <w:sz w:val="28"/>
    </w:rPr>
  </w:style>
  <w:style w:default="1" w:styleId="Style_4_ch" w:type="character">
    <w:name w:val="Normal"/>
    <w:link w:val="Style_4"/>
    <w:rPr>
      <w:sz w:val="28"/>
    </w:rPr>
  </w:style>
  <w:style w:styleId="Style_5" w:type="paragraph">
    <w:name w:val="toc 2"/>
    <w:next w:val="Style_4"/>
    <w:link w:val="Style_5_ch"/>
    <w:uiPriority w:val="39"/>
    <w:pPr>
      <w:ind w:firstLine="0" w:left="200"/>
    </w:pPr>
    <w:rPr>
      <w:sz w:val="28"/>
    </w:rPr>
  </w:style>
  <w:style w:styleId="Style_5_ch" w:type="character">
    <w:name w:val="toc 2"/>
    <w:link w:val="Style_5"/>
    <w:rPr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</w:pPr>
    <w:rPr>
      <w:sz w:val="28"/>
    </w:rPr>
  </w:style>
  <w:style w:styleId="Style_6_ch" w:type="character">
    <w:name w:val="toc 4"/>
    <w:link w:val="Style_6"/>
    <w:rPr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</w:pPr>
    <w:rPr>
      <w:sz w:val="28"/>
    </w:rPr>
  </w:style>
  <w:style w:styleId="Style_7_ch" w:type="character">
    <w:name w:val="toc 6"/>
    <w:link w:val="Style_7"/>
    <w:rPr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</w:pPr>
    <w:rPr>
      <w:sz w:val="28"/>
    </w:rPr>
  </w:style>
  <w:style w:styleId="Style_8_ch" w:type="character">
    <w:name w:val="toc 7"/>
    <w:link w:val="Style_8"/>
    <w:rPr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b w:val="1"/>
      <w:sz w:val="26"/>
    </w:rPr>
  </w:style>
  <w:style w:styleId="Style_9_ch" w:type="character">
    <w:name w:val="heading 3"/>
    <w:link w:val="Style_9"/>
    <w:rPr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4"/>
    <w:link w:val="Style_11_ch"/>
    <w:uiPriority w:val="39"/>
    <w:pPr>
      <w:ind w:firstLine="0" w:left="400"/>
    </w:pPr>
    <w:rPr>
      <w:sz w:val="28"/>
    </w:rPr>
  </w:style>
  <w:style w:styleId="Style_11_ch" w:type="character">
    <w:name w:val="toc 3"/>
    <w:link w:val="Style_11"/>
    <w:rPr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b w:val="1"/>
      <w:sz w:val="22"/>
    </w:rPr>
  </w:style>
  <w:style w:styleId="Style_12_ch" w:type="character">
    <w:name w:val="heading 5"/>
    <w:link w:val="Style_12"/>
    <w:rPr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b w:val="1"/>
      <w:sz w:val="32"/>
    </w:rPr>
  </w:style>
  <w:style w:styleId="Style_13_ch" w:type="character">
    <w:name w:val="heading 1"/>
    <w:link w:val="Style_13"/>
    <w:rPr>
      <w:b w:val="1"/>
      <w:sz w:val="32"/>
    </w:rPr>
  </w:style>
  <w:style w:styleId="Style_2" w:type="paragraph">
    <w:name w:val="Гиперссылка1"/>
    <w:link w:val="Style_2_ch"/>
    <w:rPr>
      <w:color w:val="0000FF"/>
      <w:u w:val="single"/>
    </w:rPr>
  </w:style>
  <w:style w:styleId="Style_2_ch" w:type="character">
    <w:name w:val="Гиперссылка1"/>
    <w:link w:val="Style_2"/>
    <w:rPr>
      <w:color w:val="0000FF"/>
      <w:u w:val="single"/>
    </w:rPr>
  </w:style>
  <w:style w:styleId="Style_1" w:type="paragraph">
    <w:name w:val="Обычный1"/>
    <w:link w:val="Style_1_ch"/>
    <w:rPr>
      <w:rFonts w:ascii="XO Thames" w:hAnsi="XO Thames"/>
      <w:sz w:val="28"/>
    </w:rPr>
  </w:style>
  <w:style w:styleId="Style_1_ch" w:type="character">
    <w:name w:val="Обычный1"/>
    <w:link w:val="Style_1"/>
    <w:rPr>
      <w:rFonts w:ascii="XO Thames" w:hAnsi="XO Thames"/>
      <w:sz w:val="28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sz w:val="22"/>
    </w:rPr>
  </w:style>
  <w:style w:styleId="Style_15_ch" w:type="character">
    <w:name w:val="Footnote"/>
    <w:link w:val="Style_15"/>
    <w:rPr>
      <w:sz w:val="22"/>
    </w:rPr>
  </w:style>
  <w:style w:styleId="Style_16" w:type="paragraph">
    <w:name w:val="toc 1"/>
    <w:next w:val="Style_4"/>
    <w:link w:val="Style_16_ch"/>
    <w:uiPriority w:val="39"/>
    <w:rPr>
      <w:b w:val="1"/>
      <w:sz w:val="28"/>
    </w:rPr>
  </w:style>
  <w:style w:styleId="Style_16_ch" w:type="character">
    <w:name w:val="toc 1"/>
    <w:link w:val="Style_16"/>
    <w:rPr>
      <w:b w:val="1"/>
      <w:sz w:val="28"/>
    </w:rPr>
  </w:style>
  <w:style w:styleId="Style_17" w:type="paragraph">
    <w:name w:val="Header and Footer"/>
    <w:link w:val="Style_17_ch"/>
    <w:pPr>
      <w:ind/>
      <w:jc w:val="both"/>
    </w:pPr>
    <w:rPr>
      <w:sz w:val="20"/>
    </w:rPr>
  </w:style>
  <w:style w:styleId="Style_17_ch" w:type="character">
    <w:name w:val="Header and Footer"/>
    <w:link w:val="Style_17"/>
    <w:rPr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</w:pPr>
    <w:rPr>
      <w:sz w:val="28"/>
    </w:rPr>
  </w:style>
  <w:style w:styleId="Style_18_ch" w:type="character">
    <w:name w:val="toc 9"/>
    <w:link w:val="Style_18"/>
    <w:rPr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</w:pPr>
    <w:rPr>
      <w:sz w:val="28"/>
    </w:rPr>
  </w:style>
  <w:style w:styleId="Style_19_ch" w:type="character">
    <w:name w:val="toc 8"/>
    <w:link w:val="Style_19"/>
    <w:rPr>
      <w:sz w:val="28"/>
    </w:rPr>
  </w:style>
  <w:style w:styleId="Style_20" w:type="paragraph">
    <w:name w:val="toc 5"/>
    <w:next w:val="Style_4"/>
    <w:link w:val="Style_20_ch"/>
    <w:uiPriority w:val="39"/>
    <w:pPr>
      <w:ind w:firstLine="0" w:left="800"/>
    </w:pPr>
    <w:rPr>
      <w:sz w:val="28"/>
    </w:rPr>
  </w:style>
  <w:style w:styleId="Style_20_ch" w:type="character">
    <w:name w:val="toc 5"/>
    <w:link w:val="Style_20"/>
    <w:rPr>
      <w:sz w:val="28"/>
    </w:rPr>
  </w:style>
  <w:style w:styleId="Style_21" w:type="paragraph">
    <w:name w:val="Subtitle"/>
    <w:next w:val="Style_4"/>
    <w:link w:val="Style_21_ch"/>
    <w:uiPriority w:val="11"/>
    <w:qFormat/>
    <w:pPr>
      <w:ind/>
      <w:jc w:val="both"/>
    </w:pPr>
    <w:rPr>
      <w:i w:val="1"/>
    </w:rPr>
  </w:style>
  <w:style w:styleId="Style_21_ch" w:type="character">
    <w:name w:val="Subtitle"/>
    <w:link w:val="Style_21"/>
    <w:rPr>
      <w:i w:val="1"/>
    </w:rPr>
  </w:style>
  <w:style w:styleId="Style_22" w:type="paragraph">
    <w:name w:val="Title"/>
    <w:next w:val="Style_4"/>
    <w:link w:val="Style_22_ch"/>
    <w:uiPriority w:val="10"/>
    <w:qFormat/>
    <w:pPr>
      <w:spacing w:after="567" w:before="567"/>
      <w:ind/>
      <w:jc w:val="center"/>
    </w:pPr>
    <w:rPr>
      <w:b w:val="1"/>
      <w:caps w:val="1"/>
      <w:sz w:val="40"/>
    </w:rPr>
  </w:style>
  <w:style w:styleId="Style_22_ch" w:type="character">
    <w:name w:val="Title"/>
    <w:link w:val="Style_22"/>
    <w:rPr>
      <w:b w:val="1"/>
      <w:caps w:val="1"/>
      <w:sz w:val="40"/>
    </w:rPr>
  </w:style>
  <w:style w:styleId="Style_23" w:type="paragraph">
    <w:name w:val="heading 4"/>
    <w:next w:val="Style_4"/>
    <w:link w:val="Style_23_ch"/>
    <w:uiPriority w:val="9"/>
    <w:qFormat/>
    <w:pPr>
      <w:spacing w:after="120" w:before="120"/>
      <w:ind/>
      <w:jc w:val="both"/>
      <w:outlineLvl w:val="3"/>
    </w:pPr>
    <w:rPr>
      <w:b w:val="1"/>
    </w:rPr>
  </w:style>
  <w:style w:styleId="Style_23_ch" w:type="character">
    <w:name w:val="heading 4"/>
    <w:link w:val="Style_23"/>
    <w:rPr>
      <w:b w:val="1"/>
    </w:rPr>
  </w:style>
  <w:style w:styleId="Style_24" w:type="paragraph">
    <w:name w:val="heading 2"/>
    <w:next w:val="Style_4"/>
    <w:link w:val="Style_24_ch"/>
    <w:uiPriority w:val="9"/>
    <w:qFormat/>
    <w:pPr>
      <w:spacing w:after="120" w:before="120"/>
      <w:ind/>
      <w:jc w:val="both"/>
      <w:outlineLvl w:val="1"/>
    </w:pPr>
    <w:rPr>
      <w:b w:val="1"/>
      <w:sz w:val="28"/>
    </w:rPr>
  </w:style>
  <w:style w:styleId="Style_24_ch" w:type="character">
    <w:name w:val="heading 2"/>
    <w:link w:val="Style_24"/>
    <w:rPr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2026-07-14T06:43:03Z</dcterms:modified>
</cp:coreProperties>
</file>