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июля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______  </w:t>
      </w:r>
      <w:r>
        <w:rPr>
          <w:rFonts w:ascii="Times New Roman" w:hAnsi="Times New Roman"/>
          <w:sz w:val="28"/>
        </w:rPr>
        <w:t xml:space="preserve">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Развитие сетей наружного освещения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</w:p>
    <w:p w14:paraId="0F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Администрации Кагальницкого сельского поселения от 22.10.2018 № 134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17.10.2018 г. №41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</w:t>
      </w:r>
      <w:r>
        <w:rPr>
          <w:rStyle w:val="Style_1_ch"/>
          <w:rFonts w:ascii="Times New Roman" w:hAnsi="Times New Roman"/>
          <w:sz w:val="28"/>
        </w:rPr>
        <w:t>ельского поселения  «</w:t>
      </w:r>
      <w:r>
        <w:rPr>
          <w:rStyle w:val="Style_1_ch"/>
          <w:rFonts w:ascii="Times New Roman" w:hAnsi="Times New Roman"/>
          <w:sz w:val="28"/>
        </w:rPr>
        <w:t>Развитие сетей наружного освещения</w:t>
      </w:r>
      <w:r>
        <w:rPr>
          <w:rStyle w:val="Style_1_ch"/>
          <w:rFonts w:ascii="Times New Roman" w:hAnsi="Times New Roman"/>
          <w:sz w:val="28"/>
        </w:rPr>
        <w:t xml:space="preserve">» </w:t>
      </w: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  <w:r>
        <w:rPr>
          <w:rStyle w:val="Style_1_ch"/>
          <w:rFonts w:ascii="Times New Roman" w:hAnsi="Times New Roman"/>
          <w:sz w:val="28"/>
        </w:rPr>
        <w:t>, согласно</w:t>
      </w:r>
      <w:r>
        <w:rPr>
          <w:rFonts w:ascii="Times New Roman" w:hAnsi="Times New Roman"/>
          <w:sz w:val="28"/>
        </w:rPr>
        <w:t xml:space="preserve">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2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3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«Об утверждении отчета о реализации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5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Развитие сетей наружного освещения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>а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I полугодие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26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z w:val="28"/>
        </w:rPr>
        <w:t xml:space="preserve"> </w:t>
      </w:r>
    </w:p>
    <w:p w14:paraId="26000000">
      <w:pPr>
        <w:spacing w:line="240" w:lineRule="auto"/>
        <w:ind w:right="-2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</w:t>
      </w:r>
    </w:p>
    <w:p w14:paraId="27000000">
      <w:pPr>
        <w:ind w:right="-2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ходе реализации муниципальной (комплексной) программы</w:t>
      </w:r>
      <w:r>
        <w:rPr>
          <w:rFonts w:ascii="Times New Roman" w:hAnsi="Times New Roman"/>
          <w:sz w:val="24"/>
        </w:rPr>
        <w:t xml:space="preserve"> </w:t>
      </w:r>
    </w:p>
    <w:p w14:paraId="28000000">
      <w:pPr>
        <w:ind w:right="-29"/>
        <w:jc w:val="center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«</w:t>
      </w:r>
      <w:r>
        <w:rPr>
          <w:rStyle w:val="Style_1_ch"/>
          <w:rFonts w:ascii="Times New Roman" w:hAnsi="Times New Roman"/>
          <w:sz w:val="24"/>
        </w:rPr>
        <w:t>Развитие сетей наружного освещения</w:t>
      </w:r>
      <w:r>
        <w:rPr>
          <w:rStyle w:val="Style_1_ch"/>
          <w:rFonts w:ascii="Times New Roman" w:hAnsi="Times New Roman"/>
          <w:sz w:val="24"/>
        </w:rPr>
        <w:t>»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 xml:space="preserve">за </w:t>
      </w:r>
      <w:r>
        <w:rPr>
          <w:rStyle w:val="Style_1_ch"/>
          <w:rFonts w:ascii="Times New Roman" w:hAnsi="Times New Roman"/>
          <w:sz w:val="24"/>
        </w:rPr>
        <w:t>I полугоди</w:t>
      </w:r>
      <w:r>
        <w:rPr>
          <w:rStyle w:val="Style_1_ch"/>
          <w:rFonts w:ascii="Times New Roman" w:hAnsi="Times New Roman"/>
          <w:sz w:val="24"/>
        </w:rPr>
        <w:t>е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>20</w:t>
      </w:r>
      <w:r>
        <w:rPr>
          <w:rStyle w:val="Style_1_ch"/>
          <w:rFonts w:ascii="Times New Roman" w:hAnsi="Times New Roman"/>
          <w:sz w:val="24"/>
        </w:rPr>
        <w:t xml:space="preserve">26 </w:t>
      </w:r>
      <w:r>
        <w:rPr>
          <w:rStyle w:val="Style_1_ch"/>
          <w:rFonts w:ascii="Times New Roman" w:hAnsi="Times New Roman"/>
          <w:sz w:val="24"/>
        </w:rPr>
        <w:t>года</w:t>
      </w:r>
    </w:p>
    <w:tbl>
      <w:tblPr>
        <w:tblInd w:type="dxa" w:w="-634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652"/>
        <w:gridCol w:w="2302"/>
        <w:gridCol w:w="1675"/>
        <w:gridCol w:w="2457"/>
        <w:gridCol w:w="1401"/>
        <w:gridCol w:w="1403"/>
        <w:gridCol w:w="1682"/>
        <w:gridCol w:w="1121"/>
        <w:gridCol w:w="941"/>
        <w:gridCol w:w="1807"/>
      </w:tblGrid>
      <w:tr>
        <w:trPr>
          <w:trHeight w:hRule="atLeast" w:val="854"/>
        </w:trPr>
        <w:tc>
          <w:tcPr>
            <w:tcW w:type="dxa" w:w="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23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наименование</w:t>
            </w:r>
          </w:p>
          <w:p w14:paraId="2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00000">
            <w:pPr>
              <w:ind w:firstLine="0" w:left="-75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исполнитель, соисполн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тель, учас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(должность/ ФИО) </w:t>
            </w:r>
          </w:p>
        </w:tc>
        <w:tc>
          <w:tcPr>
            <w:tcW w:type="dxa" w:w="2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</w:t>
            </w:r>
          </w:p>
        </w:tc>
        <w:tc>
          <w:tcPr>
            <w:tcW w:type="dxa" w:w="14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00000">
            <w:pPr>
              <w:ind w:firstLine="0" w:left="-74" w:righ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начала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</w:t>
            </w:r>
            <w:r>
              <w:rPr>
                <w:rFonts w:ascii="Times New Roman" w:hAnsi="Times New Roman"/>
                <w:sz w:val="20"/>
              </w:rPr>
              <w:t>изации</w:t>
            </w:r>
          </w:p>
        </w:tc>
        <w:tc>
          <w:tcPr>
            <w:tcW w:type="dxa" w:w="14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ская дата окончания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ции,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наступл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контрол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события</w:t>
            </w:r>
          </w:p>
        </w:tc>
        <w:tc>
          <w:tcPr>
            <w:tcW w:type="dxa" w:w="37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бюджетов на реализацию муниципальной (комплексной) программы, тыс. рублей</w:t>
            </w:r>
          </w:p>
        </w:tc>
        <w:tc>
          <w:tcPr>
            <w:tcW w:type="dxa" w:w="18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ричины не освоения</w:t>
            </w:r>
            <w:r>
              <w:rPr>
                <w:rFonts w:ascii="Times New Roman" w:hAnsi="Times New Roman"/>
                <w:sz w:val="20"/>
              </w:rPr>
              <w:t xml:space="preserve"> средств (риски)</w:t>
            </w:r>
          </w:p>
        </w:tc>
      </w:tr>
      <w:tr>
        <w:trPr>
          <w:trHeight w:hRule="atLeast" w:val="720"/>
        </w:trPr>
        <w:tc>
          <w:tcPr>
            <w:tcW w:type="dxa" w:w="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3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 w:firstLine="0" w:lef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</w:t>
            </w:r>
          </w:p>
          <w:p w14:paraId="3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мо</w:t>
            </w:r>
            <w:r>
              <w:rPr>
                <w:rFonts w:ascii="Times New Roman" w:hAnsi="Times New Roman"/>
                <w:sz w:val="20"/>
              </w:rPr>
              <w:t>й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смотрено сводной бюдже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ной ро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писью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 на отче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ную дату </w:t>
            </w:r>
          </w:p>
        </w:tc>
        <w:tc>
          <w:tcPr>
            <w:tcW w:type="dxa" w:w="18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</w:tr>
      <w:t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30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6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40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40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80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4789"/>
            <w:gridSpan w:val="9"/>
            <w:tcBorders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1_ch"/>
                <w:sz w:val="24"/>
              </w:rPr>
              <w:t>Комплекс процессных мероприятий "</w:t>
            </w:r>
            <w:r>
              <w:rPr>
                <w:rStyle w:val="Style_1_ch"/>
                <w:rFonts w:ascii="Times New Roman" w:hAnsi="Times New Roman"/>
                <w:sz w:val="22"/>
              </w:rPr>
              <w:t>Развитие сетей наружного освещения</w:t>
            </w:r>
            <w:r>
              <w:rPr>
                <w:rFonts w:ascii="Times New Roman" w:hAnsi="Times New Roman"/>
                <w:sz w:val="20"/>
              </w:rPr>
              <w:t>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1.1    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3000000">
            <w:pPr>
              <w:widowControl w:val="0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(результат) 1. «</w:t>
            </w:r>
            <w:r>
              <w:rPr>
                <w:rFonts w:ascii="Times New Roman" w:hAnsi="Times New Roman"/>
                <w:sz w:val="22"/>
              </w:rPr>
              <w:t>Заключение договора на поставку электроэнергии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Главы Аминистрации Фридриков В.А. 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5000000">
            <w:pPr>
              <w:pStyle w:val="Style_1"/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 Ежемесячная своевременная оплата авансовых счетов и актов приема-передачи электроэнергии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3 610,1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3 610,1</w:t>
            </w:r>
          </w:p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2 127,7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pPr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230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E000000">
            <w:pPr>
              <w:ind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Итого по муниципальной (комплексной) программе</w:t>
            </w:r>
          </w:p>
        </w:tc>
        <w:tc>
          <w:tcPr>
            <w:tcW w:type="dxa" w:w="16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F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245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0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68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3 610,1</w:t>
            </w:r>
          </w:p>
        </w:tc>
        <w:tc>
          <w:tcPr>
            <w:tcW w:type="dxa" w:w="11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3 610,1</w:t>
            </w:r>
          </w:p>
          <w:p w14:paraId="5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4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2 127,1</w:t>
            </w:r>
          </w:p>
        </w:tc>
        <w:tc>
          <w:tcPr>
            <w:tcW w:type="dxa" w:w="180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7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</w:tr>
    </w:tbl>
    <w:p w14:paraId="5800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2026-07-14T06:41:13Z</dcterms:modified>
</cp:coreProperties>
</file>