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РОССИЙСКАЯ ФЕДЕРАЦИЯ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РОСТОВСКАЯ ОБЛАСТЬ АЗОВСКИЙ РАЙО</w:t>
      </w:r>
      <w:r>
        <w:rPr>
          <w:rFonts w:ascii="Times New Roman" w:hAnsi="Times New Roman"/>
          <w:b w:val="1"/>
          <w:sz w:val="28"/>
        </w:rPr>
        <w:t>Н</w:t>
      </w:r>
    </w:p>
    <w:p w14:paraId="03000000">
      <w:pPr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АДМИНИСТРАЦИЯ </w:t>
      </w:r>
    </w:p>
    <w:p w14:paraId="04000000">
      <w:pPr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КАГАЛЬНИЦКОГО СЕЛЬСКОГО ПОСЕЛЕНИЯ</w:t>
      </w:r>
    </w:p>
    <w:p w14:paraId="05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ПОСТАНОВЛЕНИЕ</w:t>
      </w:r>
    </w:p>
    <w:p w14:paraId="06000000">
      <w:pPr>
        <w:rPr>
          <w:rFonts w:ascii="Times New Roman" w:hAnsi="Times New Roman"/>
          <w:sz w:val="28"/>
        </w:rPr>
      </w:pPr>
    </w:p>
    <w:p w14:paraId="0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«___» июля 2026</w:t>
      </w:r>
      <w:r>
        <w:rPr>
          <w:rFonts w:ascii="Times New Roman" w:hAnsi="Times New Roman"/>
          <w:sz w:val="28"/>
        </w:rPr>
        <w:t xml:space="preserve"> г.        </w:t>
      </w:r>
      <w:r>
        <w:rPr>
          <w:rFonts w:ascii="Times New Roman" w:hAnsi="Times New Roman"/>
          <w:sz w:val="28"/>
        </w:rPr>
        <w:t xml:space="preserve">                         № ___</w:t>
      </w:r>
      <w:r>
        <w:rPr>
          <w:rFonts w:ascii="Times New Roman" w:hAnsi="Times New Roman"/>
          <w:sz w:val="28"/>
        </w:rPr>
        <w:t xml:space="preserve">                                         с. Кагальник</w:t>
      </w:r>
    </w:p>
    <w:p w14:paraId="08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</w:p>
    <w:p w14:paraId="09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Об утверждении о</w:t>
      </w:r>
      <w:r>
        <w:rPr>
          <w:rStyle w:val="Style_1_ch"/>
          <w:rFonts w:ascii="Times New Roman" w:hAnsi="Times New Roman"/>
          <w:sz w:val="28"/>
        </w:rPr>
        <w:t>тчета</w:t>
      </w:r>
    </w:p>
    <w:p w14:paraId="0A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о ходе реализации муниципальной </w:t>
      </w:r>
    </w:p>
    <w:p w14:paraId="0B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(комплексной) программы</w:t>
      </w:r>
      <w:r>
        <w:rPr>
          <w:rStyle w:val="Style_1_ch"/>
          <w:rFonts w:ascii="Times New Roman" w:hAnsi="Times New Roman"/>
          <w:sz w:val="28"/>
        </w:rPr>
        <w:t xml:space="preserve"> </w:t>
      </w:r>
    </w:p>
    <w:p w14:paraId="0C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Обеспечение качественными жилищно-</w:t>
      </w:r>
    </w:p>
    <w:p w14:paraId="0D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коммунальными услугами</w:t>
      </w:r>
      <w:r>
        <w:rPr>
          <w:rStyle w:val="Style_1_ch"/>
          <w:rFonts w:ascii="Times New Roman" w:hAnsi="Times New Roman"/>
          <w:sz w:val="28"/>
        </w:rPr>
        <w:t>»</w:t>
      </w:r>
      <w:r>
        <w:rPr>
          <w:rStyle w:val="Style_1_ch"/>
          <w:rFonts w:ascii="Times New Roman" w:hAnsi="Times New Roman"/>
          <w:sz w:val="28"/>
        </w:rPr>
        <w:t xml:space="preserve"> </w:t>
      </w:r>
    </w:p>
    <w:p w14:paraId="0E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за </w:t>
      </w:r>
      <w:r>
        <w:rPr>
          <w:rStyle w:val="Style_1_ch"/>
          <w:rFonts w:ascii="Times New Roman" w:hAnsi="Times New Roman"/>
          <w:sz w:val="28"/>
        </w:rPr>
        <w:t>I полугодие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20</w:t>
      </w:r>
      <w:r>
        <w:rPr>
          <w:rStyle w:val="Style_1_ch"/>
          <w:rFonts w:ascii="Times New Roman" w:hAnsi="Times New Roman"/>
          <w:sz w:val="28"/>
        </w:rPr>
        <w:t xml:space="preserve">26 </w:t>
      </w:r>
      <w:r>
        <w:rPr>
          <w:rStyle w:val="Style_1_ch"/>
          <w:rFonts w:ascii="Times New Roman" w:hAnsi="Times New Roman"/>
          <w:sz w:val="28"/>
        </w:rPr>
        <w:t>года</w:t>
      </w:r>
    </w:p>
    <w:p w14:paraId="0F000000">
      <w:pPr>
        <w:spacing w:line="240" w:lineRule="auto"/>
        <w:ind/>
        <w:contextualSpacing w:val="1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 </w:t>
      </w:r>
    </w:p>
    <w:p w14:paraId="10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постановлением Администрации Кагальницкого сельского поселения от 22.10.2018 № 134 «Об утверждении Порядка разработки, реализации и оценки эффективности муниципальных программ Кагальницкого сельского поселения», от 22.10.2018 г. №135 «Об утверждении Методических рекомендаций по разработке и реализации муниципальных программ Кагальницкого сельского поселения», распоряжения от 17.10.2018 г. №41 «Об утверждении Перечня муниципальных программ Кагальницкого сельского поселения Азовского района Ростовской области», Администрация Кагальницкого сельского поселения </w:t>
      </w:r>
    </w:p>
    <w:p w14:paraId="11000000">
      <w:pPr>
        <w:ind w:firstLine="567" w:left="0"/>
        <w:jc w:val="both"/>
        <w:rPr>
          <w:rFonts w:ascii="Times New Roman" w:hAnsi="Times New Roman"/>
          <w:sz w:val="28"/>
        </w:rPr>
      </w:pPr>
    </w:p>
    <w:p w14:paraId="12000000">
      <w:pPr>
        <w:widowControl w:val="1"/>
        <w:ind/>
        <w:jc w:val="center"/>
        <w:rPr>
          <w:b w:val="0"/>
          <w:sz w:val="28"/>
        </w:rPr>
      </w:pPr>
      <w:r>
        <w:rPr>
          <w:b w:val="0"/>
          <w:sz w:val="28"/>
        </w:rPr>
        <w:t>ПОСТАНОВЛЯЕТ:</w:t>
      </w:r>
    </w:p>
    <w:p w14:paraId="13000000">
      <w:pPr>
        <w:spacing w:line="240" w:lineRule="auto"/>
        <w:ind w:firstLine="709" w:left="0"/>
        <w:contextualSpacing w:val="1"/>
        <w:jc w:val="both"/>
        <w:rPr>
          <w:sz w:val="28"/>
        </w:rPr>
      </w:pPr>
      <w:r>
        <w:rPr>
          <w:rFonts w:ascii="Times New Roman" w:hAnsi="Times New Roman"/>
          <w:sz w:val="28"/>
        </w:rPr>
        <w:t>1. Утвердить отчет о реализации муниципальной программы Кагальницкого сел</w:t>
      </w:r>
      <w:r>
        <w:rPr>
          <w:rStyle w:val="Style_1_ch"/>
          <w:rFonts w:ascii="Times New Roman" w:hAnsi="Times New Roman"/>
          <w:sz w:val="28"/>
        </w:rPr>
        <w:t>ьского поселения  «</w:t>
      </w:r>
      <w:r>
        <w:rPr>
          <w:rStyle w:val="Style_1_ch"/>
          <w:rFonts w:ascii="Times New Roman" w:hAnsi="Times New Roman"/>
          <w:sz w:val="28"/>
        </w:rPr>
        <w:t>Обеспечение качественными жилищно-</w:t>
      </w:r>
      <w:r>
        <w:rPr>
          <w:rStyle w:val="Style_1_ch"/>
          <w:rFonts w:ascii="Times New Roman" w:hAnsi="Times New Roman"/>
          <w:sz w:val="28"/>
        </w:rPr>
        <w:t>коммунальными услугами</w:t>
      </w:r>
      <w:r>
        <w:rPr>
          <w:rStyle w:val="Style_1_ch"/>
          <w:rFonts w:ascii="Times New Roman" w:hAnsi="Times New Roman"/>
          <w:sz w:val="28"/>
        </w:rPr>
        <w:t xml:space="preserve">» </w:t>
      </w:r>
      <w:r>
        <w:rPr>
          <w:rStyle w:val="Style_1_ch"/>
          <w:rFonts w:ascii="Times New Roman" w:hAnsi="Times New Roman"/>
          <w:sz w:val="28"/>
        </w:rPr>
        <w:t xml:space="preserve">за </w:t>
      </w:r>
      <w:r>
        <w:rPr>
          <w:rStyle w:val="Style_1_ch"/>
          <w:rFonts w:ascii="Times New Roman" w:hAnsi="Times New Roman"/>
          <w:sz w:val="28"/>
        </w:rPr>
        <w:t>I полугодие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20</w:t>
      </w:r>
      <w:r>
        <w:rPr>
          <w:rStyle w:val="Style_1_ch"/>
          <w:rFonts w:ascii="Times New Roman" w:hAnsi="Times New Roman"/>
          <w:sz w:val="28"/>
        </w:rPr>
        <w:t xml:space="preserve">26 </w:t>
      </w:r>
      <w:r>
        <w:rPr>
          <w:rStyle w:val="Style_1_ch"/>
          <w:rFonts w:ascii="Times New Roman" w:hAnsi="Times New Roman"/>
          <w:sz w:val="28"/>
        </w:rPr>
        <w:t>года</w:t>
      </w:r>
      <w:r>
        <w:rPr>
          <w:rStyle w:val="Style_1_ch"/>
          <w:rFonts w:ascii="Times New Roman" w:hAnsi="Times New Roman"/>
          <w:sz w:val="28"/>
        </w:rPr>
        <w:t>, с</w:t>
      </w:r>
      <w:r>
        <w:rPr>
          <w:rFonts w:ascii="Times New Roman" w:hAnsi="Times New Roman"/>
          <w:sz w:val="28"/>
        </w:rPr>
        <w:t xml:space="preserve">огласно приложению к настоящему постановлению. </w:t>
      </w:r>
    </w:p>
    <w:p w14:paraId="14000000">
      <w:p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Заведующему сектором экономики и финансов Куцкевич Е.И. разместить настоящее постановление на официальном сайте Администрации Кагальницкого сельского поселения  </w:t>
      </w: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"http://www.kagalnickoe.ru"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www.kagalnickoe.ru</w:t>
      </w:r>
      <w:r>
        <w:rPr>
          <w:rStyle w:val="Style_2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15000000">
      <w:pPr>
        <w:widowControl w:val="0"/>
        <w:ind/>
        <w:jc w:val="both"/>
      </w:pPr>
    </w:p>
    <w:p w14:paraId="16000000">
      <w:pPr>
        <w:widowControl w:val="0"/>
        <w:ind/>
        <w:jc w:val="both"/>
      </w:pPr>
    </w:p>
    <w:p w14:paraId="1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дминистрации</w:t>
      </w:r>
    </w:p>
    <w:p w14:paraId="1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Кагальницкого</w:t>
      </w:r>
      <w:r>
        <w:rPr>
          <w:rFonts w:ascii="Times New Roman" w:hAnsi="Times New Roman"/>
          <w:sz w:val="28"/>
        </w:rPr>
        <w:t xml:space="preserve"> сельского поселения                                                        </w:t>
      </w:r>
      <w:r>
        <w:rPr>
          <w:rFonts w:ascii="Times New Roman" w:hAnsi="Times New Roman"/>
          <w:sz w:val="28"/>
        </w:rPr>
        <w:t>К.А.Малерян</w:t>
      </w:r>
      <w:r>
        <w:rPr>
          <w:rFonts w:ascii="Times New Roman" w:hAnsi="Times New Roman"/>
          <w:sz w:val="28"/>
        </w:rPr>
        <w:t xml:space="preserve">                               </w:t>
      </w:r>
    </w:p>
    <w:p w14:paraId="19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A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B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Вносит сектор экономики и финансов</w:t>
      </w:r>
    </w:p>
    <w:p w14:paraId="1C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D000000">
      <w:pPr>
        <w:spacing w:after="0"/>
        <w:ind/>
        <w:contextualSpacing w:val="1"/>
        <w:jc w:val="right"/>
        <w:rPr>
          <w:rFonts w:ascii="Times New Roman" w:hAnsi="Times New Roman"/>
          <w:sz w:val="24"/>
        </w:rPr>
      </w:pPr>
    </w:p>
    <w:p w14:paraId="1E000000">
      <w:pPr>
        <w:spacing w:after="0"/>
        <w:ind/>
        <w:contextualSpacing w:val="1"/>
        <w:jc w:val="right"/>
        <w:rPr>
          <w:rFonts w:ascii="Times New Roman" w:hAnsi="Times New Roman"/>
          <w:sz w:val="24"/>
        </w:rPr>
      </w:pPr>
    </w:p>
    <w:p w14:paraId="1F000000">
      <w:pPr>
        <w:spacing w:after="0"/>
        <w:ind/>
        <w:contextualSpacing w:val="1"/>
        <w:jc w:val="right"/>
        <w:rPr>
          <w:rFonts w:ascii="Times New Roman" w:hAnsi="Times New Roman"/>
          <w:sz w:val="24"/>
        </w:rPr>
      </w:pPr>
    </w:p>
    <w:p w14:paraId="20000000">
      <w:pPr>
        <w:sectPr>
          <w:pgSz w:h="16838" w:orient="portrait" w:w="11906"/>
          <w:pgMar w:bottom="1134" w:left="1304" w:right="737" w:top="1134"/>
          <w:pgNumType w:fmt="decimal"/>
        </w:sectPr>
      </w:pPr>
    </w:p>
    <w:p w14:paraId="21000000">
      <w:pPr>
        <w:spacing w:after="0"/>
        <w:ind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Приложение к проекту постановления</w:t>
      </w:r>
    </w:p>
    <w:p w14:paraId="22000000">
      <w:pPr>
        <w:spacing w:after="0"/>
        <w:ind w:firstLine="709" w:left="0"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Администрации Кагальницкого сельского поселения</w:t>
      </w:r>
    </w:p>
    <w:p w14:paraId="23000000">
      <w:pPr>
        <w:spacing w:after="0"/>
        <w:ind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«Об утверждении отчета о реализации </w:t>
      </w:r>
    </w:p>
    <w:p w14:paraId="24000000">
      <w:pPr>
        <w:widowControl w:val="0"/>
        <w:spacing w:line="240" w:lineRule="auto"/>
        <w:ind w:right="0"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муниципальной программы Кагальницкого сельского поселения </w:t>
      </w:r>
    </w:p>
    <w:p w14:paraId="25000000">
      <w:pPr>
        <w:widowControl w:val="0"/>
        <w:spacing w:line="240" w:lineRule="auto"/>
        <w:ind w:right="0"/>
        <w:contextualSpacing w:val="1"/>
        <w:jc w:val="right"/>
        <w:rPr>
          <w:rFonts w:ascii="Times New Roman" w:hAnsi="Times New Roman"/>
          <w:sz w:val="20"/>
        </w:rPr>
      </w:pPr>
      <w:r>
        <w:rPr>
          <w:rStyle w:val="Style_1_ch"/>
          <w:rFonts w:ascii="Times New Roman" w:hAnsi="Times New Roman"/>
          <w:sz w:val="20"/>
        </w:rPr>
        <w:t>«</w:t>
      </w:r>
      <w:r>
        <w:rPr>
          <w:rStyle w:val="Style_1_ch"/>
          <w:rFonts w:ascii="Times New Roman" w:hAnsi="Times New Roman"/>
          <w:sz w:val="20"/>
        </w:rPr>
        <w:t>Обеспечение качественными жилищно-</w:t>
      </w:r>
    </w:p>
    <w:p w14:paraId="26000000">
      <w:pPr>
        <w:widowControl w:val="0"/>
        <w:spacing w:line="240" w:lineRule="auto"/>
        <w:ind w:right="0"/>
        <w:contextualSpacing w:val="1"/>
        <w:jc w:val="right"/>
        <w:rPr>
          <w:rFonts w:ascii="Times New Roman" w:hAnsi="Times New Roman"/>
          <w:sz w:val="20"/>
        </w:rPr>
      </w:pPr>
      <w:r>
        <w:rPr>
          <w:rStyle w:val="Style_1_ch"/>
          <w:rFonts w:ascii="Times New Roman" w:hAnsi="Times New Roman"/>
          <w:sz w:val="20"/>
        </w:rPr>
        <w:t>коммунальными услугами</w:t>
      </w:r>
      <w:r>
        <w:rPr>
          <w:rStyle w:val="Style_1_ch"/>
          <w:rFonts w:ascii="Times New Roman" w:hAnsi="Times New Roman"/>
          <w:sz w:val="20"/>
        </w:rPr>
        <w:t>»</w:t>
      </w:r>
      <w:r>
        <w:rPr>
          <w:rStyle w:val="Style_1_ch"/>
          <w:rFonts w:ascii="Times New Roman" w:hAnsi="Times New Roman"/>
          <w:sz w:val="20"/>
        </w:rPr>
        <w:t xml:space="preserve"> </w:t>
      </w:r>
      <w:r>
        <w:rPr>
          <w:rStyle w:val="Style_1_ch"/>
          <w:rFonts w:ascii="Times New Roman" w:hAnsi="Times New Roman"/>
          <w:sz w:val="20"/>
        </w:rPr>
        <w:t>з</w:t>
      </w:r>
      <w:r>
        <w:rPr>
          <w:rStyle w:val="Style_1_ch"/>
          <w:rFonts w:ascii="Times New Roman" w:hAnsi="Times New Roman"/>
          <w:sz w:val="20"/>
        </w:rPr>
        <w:t xml:space="preserve">а </w:t>
      </w:r>
      <w:r>
        <w:rPr>
          <w:rStyle w:val="Style_1_ch"/>
          <w:rFonts w:ascii="Times New Roman" w:hAnsi="Times New Roman"/>
          <w:sz w:val="20"/>
        </w:rPr>
        <w:t>I полугодие</w:t>
      </w:r>
      <w:r>
        <w:rPr>
          <w:rStyle w:val="Style_1_ch"/>
          <w:rFonts w:ascii="Times New Roman" w:hAnsi="Times New Roman"/>
          <w:sz w:val="20"/>
        </w:rPr>
        <w:t xml:space="preserve"> </w:t>
      </w:r>
      <w:r>
        <w:rPr>
          <w:rStyle w:val="Style_1_ch"/>
          <w:rFonts w:ascii="Times New Roman" w:hAnsi="Times New Roman"/>
          <w:sz w:val="20"/>
        </w:rPr>
        <w:t>2</w:t>
      </w:r>
      <w:r>
        <w:rPr>
          <w:rStyle w:val="Style_1_ch"/>
          <w:rFonts w:ascii="Times New Roman" w:hAnsi="Times New Roman"/>
          <w:sz w:val="20"/>
        </w:rPr>
        <w:t>0</w:t>
      </w:r>
      <w:r>
        <w:rPr>
          <w:rStyle w:val="Style_1_ch"/>
          <w:rFonts w:ascii="Times New Roman" w:hAnsi="Times New Roman"/>
          <w:sz w:val="20"/>
        </w:rPr>
        <w:t xml:space="preserve">26 </w:t>
      </w:r>
      <w:r>
        <w:rPr>
          <w:rStyle w:val="Style_1_ch"/>
          <w:rFonts w:ascii="Times New Roman" w:hAnsi="Times New Roman"/>
          <w:sz w:val="20"/>
        </w:rPr>
        <w:t>год</w:t>
      </w:r>
      <w:r>
        <w:rPr>
          <w:rFonts w:ascii="Times New Roman" w:hAnsi="Times New Roman"/>
          <w:sz w:val="20"/>
        </w:rPr>
        <w:t>а</w:t>
      </w:r>
      <w:r>
        <w:rPr>
          <w:rFonts w:ascii="Times New Roman" w:hAnsi="Times New Roman"/>
          <w:sz w:val="28"/>
        </w:rPr>
        <w:t xml:space="preserve"> </w:t>
      </w:r>
    </w:p>
    <w:p w14:paraId="27000000">
      <w:pPr>
        <w:spacing w:line="240" w:lineRule="auto"/>
        <w:ind w:right="-2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Отчет</w:t>
      </w:r>
    </w:p>
    <w:p w14:paraId="28000000">
      <w:pPr>
        <w:ind w:right="-2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 ходе реализации муниципальной (комплексной) программы</w:t>
      </w:r>
      <w:r>
        <w:rPr>
          <w:rFonts w:ascii="Times New Roman" w:hAnsi="Times New Roman"/>
          <w:sz w:val="24"/>
        </w:rPr>
        <w:t xml:space="preserve"> </w:t>
      </w:r>
    </w:p>
    <w:p w14:paraId="29000000">
      <w:pPr>
        <w:ind w:right="-29"/>
        <w:jc w:val="center"/>
        <w:rPr>
          <w:rFonts w:ascii="Times New Roman" w:hAnsi="Times New Roman"/>
          <w:sz w:val="24"/>
        </w:rPr>
      </w:pPr>
      <w:r>
        <w:rPr>
          <w:rStyle w:val="Style_1_ch"/>
          <w:rFonts w:ascii="Times New Roman" w:hAnsi="Times New Roman"/>
          <w:sz w:val="24"/>
        </w:rPr>
        <w:t>«</w:t>
      </w:r>
      <w:r>
        <w:rPr>
          <w:rStyle w:val="Style_1_ch"/>
          <w:rFonts w:ascii="Times New Roman" w:hAnsi="Times New Roman"/>
          <w:sz w:val="24"/>
        </w:rPr>
        <w:t>Обеспечение качественными жилищно-</w:t>
      </w:r>
      <w:r>
        <w:rPr>
          <w:rStyle w:val="Style_1_ch"/>
          <w:rFonts w:ascii="Times New Roman" w:hAnsi="Times New Roman"/>
          <w:sz w:val="24"/>
        </w:rPr>
        <w:t>коммунальными услугами</w:t>
      </w:r>
      <w:r>
        <w:rPr>
          <w:rStyle w:val="Style_1_ch"/>
          <w:rFonts w:ascii="Times New Roman" w:hAnsi="Times New Roman"/>
          <w:sz w:val="24"/>
        </w:rPr>
        <w:t>»</w:t>
      </w:r>
      <w:r>
        <w:rPr>
          <w:rStyle w:val="Style_1_ch"/>
          <w:rFonts w:ascii="Times New Roman" w:hAnsi="Times New Roman"/>
          <w:sz w:val="24"/>
        </w:rPr>
        <w:t xml:space="preserve"> </w:t>
      </w:r>
      <w:r>
        <w:rPr>
          <w:rStyle w:val="Style_1_ch"/>
          <w:rFonts w:ascii="Times New Roman" w:hAnsi="Times New Roman"/>
          <w:sz w:val="24"/>
        </w:rPr>
        <w:t xml:space="preserve">за </w:t>
      </w:r>
      <w:r>
        <w:rPr>
          <w:rStyle w:val="Style_1_ch"/>
          <w:rFonts w:ascii="Times New Roman" w:hAnsi="Times New Roman"/>
          <w:sz w:val="24"/>
        </w:rPr>
        <w:t>I полугодие</w:t>
      </w:r>
      <w:r>
        <w:rPr>
          <w:rStyle w:val="Style_1_ch"/>
          <w:rFonts w:ascii="Times New Roman" w:hAnsi="Times New Roman"/>
          <w:sz w:val="24"/>
        </w:rPr>
        <w:t xml:space="preserve"> </w:t>
      </w:r>
      <w:r>
        <w:rPr>
          <w:rStyle w:val="Style_1_ch"/>
          <w:rFonts w:ascii="Times New Roman" w:hAnsi="Times New Roman"/>
          <w:sz w:val="24"/>
        </w:rPr>
        <w:t>20</w:t>
      </w:r>
      <w:r>
        <w:rPr>
          <w:rStyle w:val="Style_1_ch"/>
          <w:rFonts w:ascii="Times New Roman" w:hAnsi="Times New Roman"/>
          <w:sz w:val="24"/>
        </w:rPr>
        <w:t xml:space="preserve">26 </w:t>
      </w:r>
      <w:r>
        <w:rPr>
          <w:rStyle w:val="Style_1_ch"/>
          <w:rFonts w:ascii="Times New Roman" w:hAnsi="Times New Roman"/>
          <w:sz w:val="24"/>
        </w:rPr>
        <w:t>года</w:t>
      </w:r>
    </w:p>
    <w:tbl>
      <w:tblPr>
        <w:tblInd w:type="dxa" w:w="-634"/>
        <w:tblLayout w:type="fixed"/>
        <w:tblCellMar>
          <w:top w:type="dxa" w:w="0"/>
          <w:left w:type="dxa" w:w="75"/>
          <w:bottom w:type="dxa" w:w="0"/>
          <w:right w:type="dxa" w:w="75"/>
        </w:tblCellMar>
      </w:tblPr>
      <w:tblGrid>
        <w:gridCol w:w="652"/>
        <w:gridCol w:w="2302"/>
        <w:gridCol w:w="1675"/>
        <w:gridCol w:w="2457"/>
        <w:gridCol w:w="1401"/>
        <w:gridCol w:w="1403"/>
        <w:gridCol w:w="1682"/>
        <w:gridCol w:w="1121"/>
        <w:gridCol w:w="941"/>
        <w:gridCol w:w="1807"/>
      </w:tblGrid>
      <w:tr>
        <w:trPr>
          <w:trHeight w:hRule="atLeast" w:val="854"/>
        </w:trPr>
        <w:tc>
          <w:tcPr>
            <w:tcW w:type="dxa" w:w="6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A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type="dxa" w:w="230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B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Номер и наименование</w:t>
            </w:r>
          </w:p>
          <w:p w14:paraId="2C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6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D000000">
            <w:pPr>
              <w:ind w:firstLine="0" w:left="-75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Ответстве</w:t>
            </w:r>
            <w:r>
              <w:rPr>
                <w:rFonts w:ascii="Times New Roman" w:hAnsi="Times New Roman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 xml:space="preserve">ный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 исполнитель, соисполн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тель, учас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ник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(должность/ ФИО) </w:t>
            </w:r>
          </w:p>
        </w:tc>
        <w:tc>
          <w:tcPr>
            <w:tcW w:type="dxa" w:w="245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E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Контрольная точка</w:t>
            </w:r>
          </w:p>
        </w:tc>
        <w:tc>
          <w:tcPr>
            <w:tcW w:type="dxa" w:w="14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F000000">
            <w:pPr>
              <w:ind w:firstLine="0" w:left="-74" w:right="-7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Фактическая дата начала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реал</w:t>
            </w:r>
            <w:r>
              <w:rPr>
                <w:rFonts w:ascii="Times New Roman" w:hAnsi="Times New Roman"/>
                <w:sz w:val="20"/>
              </w:rPr>
              <w:t>изации</w:t>
            </w:r>
          </w:p>
        </w:tc>
        <w:tc>
          <w:tcPr>
            <w:tcW w:type="dxa" w:w="140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0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Фактич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ская дата окончания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реализ</w:t>
            </w:r>
            <w:r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 xml:space="preserve">ции,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наступл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 xml:space="preserve">ния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контрол</w:t>
            </w:r>
            <w:r>
              <w:rPr>
                <w:rFonts w:ascii="Times New Roman" w:hAnsi="Times New Roman"/>
                <w:sz w:val="20"/>
              </w:rPr>
              <w:t>ь</w:t>
            </w:r>
            <w:r>
              <w:rPr>
                <w:rFonts w:ascii="Times New Roman" w:hAnsi="Times New Roman"/>
                <w:sz w:val="20"/>
              </w:rPr>
              <w:t xml:space="preserve">ного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события</w:t>
            </w:r>
          </w:p>
        </w:tc>
        <w:tc>
          <w:tcPr>
            <w:tcW w:type="dxa" w:w="374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1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Расходы бюджетов на реализацию муниципальной (комплексной) программы, тыс. рублей</w:t>
            </w:r>
          </w:p>
        </w:tc>
        <w:tc>
          <w:tcPr>
            <w:tcW w:type="dxa" w:w="180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2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ричины не освоения</w:t>
            </w:r>
            <w:r>
              <w:rPr>
                <w:rFonts w:ascii="Times New Roman" w:hAnsi="Times New Roman"/>
                <w:sz w:val="20"/>
              </w:rPr>
              <w:t xml:space="preserve"> средств (риски)</w:t>
            </w:r>
          </w:p>
        </w:tc>
      </w:tr>
      <w:tr>
        <w:trPr>
          <w:trHeight w:hRule="atLeast" w:val="720"/>
        </w:trPr>
        <w:tc>
          <w:tcPr>
            <w:tcW w:type="dxa" w:w="6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230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1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24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14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140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168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3000000">
            <w:pPr>
              <w:ind w:firstLine="0" w:left="-7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предусмотрено</w:t>
            </w:r>
          </w:p>
          <w:p w14:paraId="34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</w:t>
            </w:r>
            <w:r>
              <w:rPr>
                <w:rFonts w:ascii="Times New Roman" w:hAnsi="Times New Roman"/>
                <w:sz w:val="20"/>
              </w:rPr>
              <w:t>ь</w:t>
            </w:r>
            <w:r>
              <w:rPr>
                <w:rFonts w:ascii="Times New Roman" w:hAnsi="Times New Roman"/>
                <w:sz w:val="20"/>
              </w:rPr>
              <w:t>ной програ</w:t>
            </w:r>
            <w:r>
              <w:rPr>
                <w:rFonts w:ascii="Times New Roman" w:hAnsi="Times New Roman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>мо</w:t>
            </w:r>
            <w:r>
              <w:rPr>
                <w:rFonts w:ascii="Times New Roman" w:hAnsi="Times New Roman"/>
                <w:sz w:val="20"/>
              </w:rPr>
              <w:t>й</w:t>
            </w:r>
          </w:p>
        </w:tc>
        <w:tc>
          <w:tcPr>
            <w:tcW w:type="dxa" w:w="112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5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</w:t>
            </w:r>
            <w:r>
              <w:rPr>
                <w:rFonts w:ascii="Times New Roman" w:hAnsi="Times New Roman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смотрено сводной бюдже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ной ро</w:t>
            </w:r>
            <w:r>
              <w:rPr>
                <w:rFonts w:ascii="Times New Roman" w:hAnsi="Times New Roman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писью</w:t>
            </w:r>
          </w:p>
        </w:tc>
        <w:tc>
          <w:tcPr>
            <w:tcW w:type="dxa" w:w="9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6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факт на отче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 xml:space="preserve">ную дату </w:t>
            </w:r>
          </w:p>
        </w:tc>
        <w:tc>
          <w:tcPr>
            <w:tcW w:type="dxa" w:w="180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</w:tr>
      <w:tr>
        <w:tc>
          <w:tcPr>
            <w:tcW w:type="dxa" w:w="65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7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230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8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167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9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2457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A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140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B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1403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C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168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D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112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E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type="dxa" w:w="9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F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1807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0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</w:tr>
      <w:tr>
        <w:trPr>
          <w:trHeight w:hRule="atLeast" w:val="360"/>
        </w:trPr>
        <w:tc>
          <w:tcPr>
            <w:tcW w:type="dxa" w:w="65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1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4789"/>
            <w:gridSpan w:val="9"/>
            <w:tcBorders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2000000">
            <w:pPr>
              <w:numPr>
                <w:numId w:val="1"/>
              </w:num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Style w:val="Style_1_ch"/>
                <w:sz w:val="24"/>
              </w:rPr>
              <w:t>Комплекс процессных мероприятий "</w:t>
            </w:r>
            <w:r>
              <w:rPr>
                <w:rStyle w:val="Style_1_ch"/>
                <w:sz w:val="24"/>
              </w:rPr>
              <w:t>Развитие жили</w:t>
            </w:r>
            <w:r>
              <w:rPr>
                <w:rStyle w:val="Style_1_ch"/>
                <w:sz w:val="24"/>
              </w:rPr>
              <w:t>щного хозяйства в сельском поселении</w:t>
            </w:r>
            <w:r>
              <w:rPr>
                <w:rFonts w:ascii="Times New Roman" w:hAnsi="Times New Roman"/>
                <w:sz w:val="20"/>
              </w:rPr>
              <w:t>"</w:t>
            </w:r>
          </w:p>
        </w:tc>
      </w:tr>
      <w:tr>
        <w:trPr>
          <w:trHeight w:hRule="atLeast" w:val="360"/>
        </w:trPr>
        <w:tc>
          <w:tcPr>
            <w:tcW w:type="dxa" w:w="652"/>
            <w:tcBorders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3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1.1    </w:t>
            </w:r>
          </w:p>
        </w:tc>
        <w:tc>
          <w:tcPr>
            <w:tcW w:type="dxa" w:w="23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4000000">
            <w:pPr>
              <w:widowControl w:val="0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Мероприятие (результат) 1. «</w:t>
            </w:r>
            <w:r>
              <w:rPr>
                <w:rStyle w:val="Style_1_ch"/>
                <w:rFonts w:ascii="Times New Roman" w:hAnsi="Times New Roman"/>
                <w:sz w:val="24"/>
              </w:rPr>
              <w:t>Оплата ежемесячного взноса на капитальный ремонт многоквартирных домов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type="dxa" w:w="16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5000000">
            <w:pPr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Зам. Главы Аминистрации Фридриков В.А. </w:t>
            </w:r>
          </w:p>
        </w:tc>
        <w:tc>
          <w:tcPr>
            <w:tcW w:type="dxa" w:w="24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6000000">
            <w:pPr>
              <w:pStyle w:val="Style_1"/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 Ежемесячная оплата  счета НКО «Фонд капитального ремонта</w:t>
            </w:r>
          </w:p>
        </w:tc>
        <w:tc>
          <w:tcPr>
            <w:tcW w:type="dxa" w:w="14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01.01.2026</w:t>
            </w:r>
          </w:p>
        </w:tc>
        <w:tc>
          <w:tcPr>
            <w:tcW w:type="dxa" w:w="14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11.06.2026</w:t>
            </w:r>
          </w:p>
        </w:tc>
        <w:tc>
          <w:tcPr>
            <w:tcW w:type="dxa" w:w="16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26,1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26,1</w:t>
            </w:r>
          </w:p>
        </w:tc>
        <w:tc>
          <w:tcPr>
            <w:tcW w:type="dxa" w:w="94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26,0</w:t>
            </w:r>
          </w:p>
        </w:tc>
        <w:tc>
          <w:tcPr>
            <w:tcW w:type="dxa" w:w="18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C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rPr>
          <w:trHeight w:hRule="atLeast" w:val="611"/>
        </w:trPr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D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14789"/>
            <w:gridSpan w:val="9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E000000">
            <w:pPr>
              <w:numPr>
                <w:numId w:val="1"/>
              </w:num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Style w:val="Style_1_ch"/>
                <w:sz w:val="24"/>
              </w:rPr>
              <w:t>Комплекс процессных мероприятий</w:t>
            </w:r>
            <w:r>
              <w:rPr>
                <w:rFonts w:ascii="Times New Roman" w:hAnsi="Times New Roman"/>
                <w:sz w:val="20"/>
              </w:rPr>
              <w:t xml:space="preserve"> "</w:t>
            </w:r>
            <w:r>
              <w:rPr>
                <w:rStyle w:val="Style_1_ch"/>
                <w:rFonts w:ascii="Times New Roman" w:hAnsi="Times New Roman"/>
                <w:sz w:val="24"/>
              </w:rPr>
              <w:t>Создание усл</w:t>
            </w:r>
            <w:r>
              <w:rPr>
                <w:rStyle w:val="Style_1_ch"/>
                <w:sz w:val="24"/>
              </w:rPr>
              <w:t>овий для обесп</w:t>
            </w:r>
            <w:r>
              <w:rPr>
                <w:rStyle w:val="Style_1_ch"/>
                <w:rFonts w:ascii="Times New Roman" w:hAnsi="Times New Roman"/>
                <w:sz w:val="24"/>
              </w:rPr>
              <w:t>ечения качественными коммунальными услугами населения сельских поселений</w:t>
            </w:r>
            <w:r>
              <w:rPr>
                <w:rFonts w:ascii="Times New Roman" w:hAnsi="Times New Roman"/>
                <w:sz w:val="20"/>
              </w:rPr>
              <w:t>"</w:t>
            </w:r>
          </w:p>
        </w:tc>
      </w:tr>
      <w:tr>
        <w:trPr>
          <w:trHeight w:hRule="atLeast" w:val="611"/>
        </w:trPr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F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2.2</w:t>
            </w:r>
          </w:p>
        </w:tc>
        <w:tc>
          <w:tcPr>
            <w:tcW w:type="dxa" w:w="23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0000000">
            <w:pPr>
              <w:widowControl w:val="0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Мероприятие (результат) 2. </w:t>
            </w:r>
            <w:r>
              <w:rPr>
                <w:rStyle w:val="Style_1_ch"/>
                <w:rFonts w:ascii="Times New Roman" w:hAnsi="Times New Roman"/>
                <w:sz w:val="20"/>
              </w:rPr>
              <w:t>"</w:t>
            </w:r>
            <w:r>
              <w:rPr>
                <w:rFonts w:ascii="Times New Roman" w:hAnsi="Times New Roman"/>
                <w:sz w:val="24"/>
              </w:rPr>
              <w:t>Обслуживание наружных газопроводов на территории поселения</w:t>
            </w:r>
            <w:r>
              <w:rPr>
                <w:rStyle w:val="Style_1_ch"/>
                <w:rFonts w:ascii="Times New Roman" w:hAnsi="Times New Roman"/>
                <w:sz w:val="20"/>
              </w:rPr>
              <w:t>"</w:t>
            </w:r>
          </w:p>
          <w:p w14:paraId="51000000">
            <w:pPr>
              <w:widowControl w:val="0"/>
              <w:ind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6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2000000">
            <w:pPr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Зам. Главы Аминистрации Фридриков В.А. </w:t>
            </w:r>
          </w:p>
          <w:p w14:paraId="53000000">
            <w:pPr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4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Заключение договора на обслуживание наружных газопроводов</w:t>
            </w:r>
          </w:p>
        </w:tc>
        <w:tc>
          <w:tcPr>
            <w:tcW w:type="dxa" w:w="14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01.01.2026</w:t>
            </w:r>
          </w:p>
        </w:tc>
        <w:tc>
          <w:tcPr>
            <w:tcW w:type="dxa" w:w="14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12.01.2026</w:t>
            </w:r>
          </w:p>
        </w:tc>
        <w:tc>
          <w:tcPr>
            <w:tcW w:type="dxa" w:w="16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45,0</w:t>
            </w:r>
          </w:p>
        </w:tc>
        <w:tc>
          <w:tcPr>
            <w:tcW w:type="dxa" w:w="94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26,9</w:t>
            </w:r>
          </w:p>
        </w:tc>
        <w:tc>
          <w:tcPr>
            <w:tcW w:type="dxa" w:w="18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A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B00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302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C000000">
            <w:pPr>
              <w:ind/>
              <w:jc w:val="left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Итого по муниципальной (комплексной) программе</w:t>
            </w:r>
          </w:p>
        </w:tc>
        <w:tc>
          <w:tcPr>
            <w:tcW w:type="dxa" w:w="1675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D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X</w:t>
            </w:r>
          </w:p>
        </w:tc>
        <w:tc>
          <w:tcPr>
            <w:tcW w:type="dxa" w:w="245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E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X</w:t>
            </w:r>
          </w:p>
        </w:tc>
        <w:tc>
          <w:tcPr>
            <w:tcW w:type="dxa" w:w="140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F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X</w:t>
            </w:r>
          </w:p>
        </w:tc>
        <w:tc>
          <w:tcPr>
            <w:tcW w:type="dxa" w:w="1403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0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X</w:t>
            </w:r>
          </w:p>
        </w:tc>
        <w:tc>
          <w:tcPr>
            <w:tcW w:type="dxa" w:w="1682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1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71,1</w:t>
            </w:r>
          </w:p>
        </w:tc>
        <w:tc>
          <w:tcPr>
            <w:tcW w:type="dxa" w:w="112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2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71,1</w:t>
            </w:r>
          </w:p>
        </w:tc>
        <w:tc>
          <w:tcPr>
            <w:tcW w:type="dxa" w:w="94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3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52,9</w:t>
            </w:r>
          </w:p>
        </w:tc>
        <w:tc>
          <w:tcPr>
            <w:tcW w:type="dxa" w:w="180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4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X</w:t>
            </w:r>
          </w:p>
        </w:tc>
      </w:tr>
    </w:tbl>
    <w:p w14:paraId="65000000"/>
    <w:sectPr>
      <w:type w:val="nextPage"/>
      <w:pgSz w:h="11908" w:orient="landscape" w:w="16848"/>
      <w:pgMar w:bottom="569" w:left="1304" w:right="737" w:top="709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3" w:type="paragraph">
    <w:name w:val="toc 2"/>
    <w:next w:val="Style_1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2" w:type="paragraph">
    <w:name w:val="Hyperlink"/>
    <w:link w:val="Style_2_ch"/>
    <w:rPr>
      <w:color w:val="0000FF"/>
      <w:u w:val="single"/>
    </w:rPr>
  </w:style>
  <w:style w:styleId="Style_2_ch" w:type="character">
    <w:name w:val="Hyperlink"/>
    <w:link w:val="Style_2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2026-07-14T06:42:23Z</dcterms:modified>
</cp:coreProperties>
</file>