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июля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</w:t>
      </w:r>
      <w:r>
        <w:rPr>
          <w:rFonts w:ascii="Times New Roman" w:hAnsi="Times New Roman"/>
          <w:sz w:val="28"/>
        </w:rPr>
        <w:t xml:space="preserve">      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Энергоэффективность и развитее энергетики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</w:p>
    <w:p w14:paraId="0F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Администрации Кагальницкого сельского поселения от 22.10.2018 № 134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17.10.2018 г. №41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Style w:val="Style_1_ch"/>
          <w:rFonts w:ascii="Times New Roman" w:hAnsi="Times New Roman"/>
          <w:sz w:val="28"/>
        </w:rPr>
        <w:t xml:space="preserve"> Утвердить отчет о реализации муниципальной программы Кагальницкого сельского поселения «</w:t>
      </w:r>
      <w:r>
        <w:rPr>
          <w:rStyle w:val="Style_1_ch"/>
          <w:rFonts w:ascii="Times New Roman" w:hAnsi="Times New Roman"/>
          <w:sz w:val="28"/>
        </w:rPr>
        <w:t>Энергоэффективность и развитее энергетики</w:t>
      </w:r>
      <w:r>
        <w:rPr>
          <w:rStyle w:val="Style_1_ch"/>
          <w:rFonts w:ascii="Times New Roman" w:hAnsi="Times New Roman"/>
          <w:sz w:val="28"/>
        </w:rPr>
        <w:t xml:space="preserve">» </w:t>
      </w: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  <w:r>
        <w:rPr>
          <w:rStyle w:val="Style_1_ch"/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2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3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«Об утверждении отчета о реализации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5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Энергоэффективность и развитее энергетики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 xml:space="preserve">I </w:t>
      </w:r>
      <w:r>
        <w:rPr>
          <w:rStyle w:val="Style_1_ch"/>
          <w:rFonts w:ascii="Times New Roman" w:hAnsi="Times New Roman"/>
          <w:sz w:val="20"/>
        </w:rPr>
        <w:t>полуго</w:t>
      </w:r>
      <w:r>
        <w:rPr>
          <w:rStyle w:val="Style_1_ch"/>
          <w:rFonts w:ascii="Times New Roman" w:hAnsi="Times New Roman"/>
          <w:sz w:val="20"/>
        </w:rPr>
        <w:t>дие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26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Style w:val="Style_1_ch"/>
          <w:rFonts w:ascii="Times New Roman" w:hAnsi="Times New Roman"/>
          <w:sz w:val="20"/>
        </w:rPr>
        <w:t>а</w:t>
      </w:r>
      <w:r>
        <w:rPr>
          <w:rStyle w:val="Style_1_ch"/>
          <w:rFonts w:ascii="Times New Roman" w:hAnsi="Times New Roman"/>
          <w:sz w:val="20"/>
        </w:rPr>
        <w:t xml:space="preserve"> </w:t>
      </w:r>
    </w:p>
    <w:p w14:paraId="26000000">
      <w:pPr>
        <w:spacing w:line="240" w:lineRule="auto"/>
        <w:ind w:right="-29"/>
        <w:jc w:val="center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Отчет</w:t>
      </w:r>
    </w:p>
    <w:p w14:paraId="27000000">
      <w:pPr>
        <w:ind w:right="-29"/>
        <w:jc w:val="center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о ходе реализации муниципальной (комплексной) программы</w:t>
      </w:r>
      <w:r>
        <w:rPr>
          <w:rStyle w:val="Style_1_ch"/>
          <w:rFonts w:ascii="Times New Roman" w:hAnsi="Times New Roman"/>
          <w:sz w:val="24"/>
        </w:rPr>
        <w:t xml:space="preserve"> </w:t>
      </w:r>
    </w:p>
    <w:p w14:paraId="28000000">
      <w:pPr>
        <w:ind w:right="-29"/>
        <w:jc w:val="center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«</w:t>
      </w:r>
      <w:r>
        <w:rPr>
          <w:rStyle w:val="Style_1_ch"/>
          <w:rFonts w:ascii="Times New Roman" w:hAnsi="Times New Roman"/>
          <w:sz w:val="24"/>
        </w:rPr>
        <w:t>Энергоэффективность и развитее энергетики</w:t>
      </w:r>
      <w:r>
        <w:rPr>
          <w:rStyle w:val="Style_1_ch"/>
          <w:rFonts w:ascii="Times New Roman" w:hAnsi="Times New Roman"/>
          <w:sz w:val="24"/>
        </w:rPr>
        <w:t>»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 xml:space="preserve">за </w:t>
      </w:r>
      <w:r>
        <w:rPr>
          <w:rStyle w:val="Style_1_ch"/>
          <w:rFonts w:ascii="Times New Roman" w:hAnsi="Times New Roman"/>
          <w:sz w:val="24"/>
        </w:rPr>
        <w:t>I п</w:t>
      </w:r>
      <w:r>
        <w:rPr>
          <w:rStyle w:val="Style_1_ch"/>
          <w:rFonts w:ascii="Times New Roman" w:hAnsi="Times New Roman"/>
          <w:sz w:val="24"/>
        </w:rPr>
        <w:t>олугод</w:t>
      </w:r>
      <w:r>
        <w:rPr>
          <w:rStyle w:val="Style_1_ch"/>
          <w:rFonts w:ascii="Times New Roman" w:hAnsi="Times New Roman"/>
          <w:sz w:val="24"/>
        </w:rPr>
        <w:t>ие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>20</w:t>
      </w:r>
      <w:r>
        <w:rPr>
          <w:rStyle w:val="Style_1_ch"/>
          <w:rFonts w:ascii="Times New Roman" w:hAnsi="Times New Roman"/>
          <w:sz w:val="24"/>
        </w:rPr>
        <w:t xml:space="preserve">26 </w:t>
      </w:r>
      <w:r>
        <w:rPr>
          <w:rStyle w:val="Style_1_ch"/>
          <w:rFonts w:ascii="Times New Roman" w:hAnsi="Times New Roman"/>
          <w:sz w:val="24"/>
        </w:rPr>
        <w:t>года</w:t>
      </w:r>
    </w:p>
    <w:tbl>
      <w:tblPr>
        <w:tblInd w:type="dxa" w:w="-634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652"/>
        <w:gridCol w:w="2302"/>
        <w:gridCol w:w="1675"/>
        <w:gridCol w:w="2457"/>
        <w:gridCol w:w="1401"/>
        <w:gridCol w:w="1403"/>
        <w:gridCol w:w="1682"/>
        <w:gridCol w:w="1095"/>
        <w:gridCol w:w="941"/>
        <w:gridCol w:w="1807"/>
      </w:tblGrid>
      <w:tr>
        <w:trPr>
          <w:trHeight w:hRule="atLeast" w:val="854"/>
        </w:trPr>
        <w:tc>
          <w:tcPr>
            <w:tcW w:type="dxa" w:w="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23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наименование</w:t>
            </w:r>
          </w:p>
          <w:p w14:paraId="2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00000">
            <w:pPr>
              <w:ind w:firstLine="0" w:left="-75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исполнитель, соисполн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тель, учас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(должность/ ФИО) </w:t>
            </w:r>
          </w:p>
        </w:tc>
        <w:tc>
          <w:tcPr>
            <w:tcW w:type="dxa" w:w="2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</w:t>
            </w:r>
          </w:p>
        </w:tc>
        <w:tc>
          <w:tcPr>
            <w:tcW w:type="dxa" w:w="14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00000">
            <w:pPr>
              <w:ind w:firstLine="0" w:left="-74" w:righ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начала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</w:t>
            </w:r>
            <w:r>
              <w:rPr>
                <w:rFonts w:ascii="Times New Roman" w:hAnsi="Times New Roman"/>
                <w:sz w:val="20"/>
              </w:rPr>
              <w:t>изации</w:t>
            </w:r>
          </w:p>
        </w:tc>
        <w:tc>
          <w:tcPr>
            <w:tcW w:type="dxa" w:w="14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ская дата окончания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ции,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наступл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контрол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события</w:t>
            </w:r>
          </w:p>
        </w:tc>
        <w:tc>
          <w:tcPr>
            <w:tcW w:type="dxa" w:w="37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бюджетов на реализацию муниципальной (комплексной) программы, тыс. рублей</w:t>
            </w:r>
          </w:p>
        </w:tc>
        <w:tc>
          <w:tcPr>
            <w:tcW w:type="dxa" w:w="18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ричины не освоения</w:t>
            </w:r>
            <w:r>
              <w:rPr>
                <w:rFonts w:ascii="Times New Roman" w:hAnsi="Times New Roman"/>
                <w:sz w:val="20"/>
              </w:rPr>
              <w:t xml:space="preserve"> средств (риски)</w:t>
            </w:r>
          </w:p>
        </w:tc>
      </w:tr>
      <w:tr>
        <w:trPr>
          <w:trHeight w:hRule="atLeast" w:val="720"/>
        </w:trPr>
        <w:tc>
          <w:tcPr>
            <w:tcW w:type="dxa" w:w="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3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 w:firstLine="0" w:lef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</w:t>
            </w:r>
          </w:p>
          <w:p w14:paraId="3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мо</w:t>
            </w:r>
            <w:r>
              <w:rPr>
                <w:rFonts w:ascii="Times New Roman" w:hAnsi="Times New Roman"/>
                <w:sz w:val="20"/>
              </w:rPr>
              <w:t>й</w:t>
            </w:r>
          </w:p>
        </w:tc>
        <w:tc>
          <w:tcPr>
            <w:tcW w:type="dxa" w:w="109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смотрено сводной бюдже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ной ро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писью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 на отче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ную дату </w:t>
            </w:r>
          </w:p>
        </w:tc>
        <w:tc>
          <w:tcPr>
            <w:tcW w:type="dxa" w:w="18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</w:tr>
      <w:t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30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6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40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40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09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80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763"/>
            <w:gridSpan w:val="9"/>
            <w:tcBorders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Комплекс процессных мероприятий</w:t>
            </w:r>
            <w:r>
              <w:rPr>
                <w:rStyle w:val="Style_1_ch"/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"</w:t>
            </w:r>
            <w:r>
              <w:rPr>
                <w:rFonts w:ascii="Times New Roman" w:hAnsi="Times New Roman"/>
                <w:sz w:val="22"/>
              </w:rPr>
              <w:t>Энергосбережение и повышение энергетической эффективности в сельских поселениях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type="dxa" w:w="2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1.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Style w:val="Style_1_ch"/>
                <w:rFonts w:ascii="Times New Roman" w:hAnsi="Times New Roman"/>
                <w:sz w:val="24"/>
              </w:rPr>
              <w:t>Мероприятие по замене ламп накаливания и других неэффективных элементов систем освещения, в том числе светильников, на энергосберегающие (в том числе не менее 30% от объема на основе светодиодов)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Зам. Главы Администрации Фридриков В.А.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Приобретение </w:t>
            </w:r>
            <w:r>
              <w:rPr>
                <w:rStyle w:val="Style_1_ch"/>
                <w:rFonts w:ascii="Times New Roman" w:hAnsi="Times New Roman"/>
                <w:sz w:val="24"/>
              </w:rPr>
              <w:t>ламп накаливания для ежегодной замены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30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pPr>
              <w:ind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Итого по муниципальной (комплексной) программе</w:t>
            </w:r>
          </w:p>
        </w:tc>
        <w:tc>
          <w:tcPr>
            <w:tcW w:type="dxa" w:w="16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E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245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F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0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3,7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3,7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3,6</w:t>
            </w:r>
          </w:p>
        </w:tc>
        <w:tc>
          <w:tcPr>
            <w:tcW w:type="dxa" w:w="180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</w:tr>
    </w:tbl>
    <w:p w14:paraId="5600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2026-07-14T06:37:55Z</dcterms:modified>
</cp:coreProperties>
</file>