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ind w:firstLine="567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</w:t>
      </w:r>
    </w:p>
    <w:p w14:paraId="04000000">
      <w:pPr>
        <w:pStyle w:val="Style_2"/>
        <w:ind w:firstLine="567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5000000">
      <w:pPr>
        <w:pStyle w:val="Style_2"/>
        <w:ind w:firstLine="567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6000000">
      <w:pPr>
        <w:pStyle w:val="Style_2"/>
        <w:ind w:firstLine="567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АДМИНИСТРАЦИЯ</w:t>
      </w:r>
    </w:p>
    <w:p w14:paraId="07000000">
      <w:pPr>
        <w:pStyle w:val="Style_2"/>
        <w:ind w:firstLine="567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8000000">
      <w:pPr>
        <w:pStyle w:val="Style_2"/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</w:t>
      </w:r>
    </w:p>
    <w:p w14:paraId="09000000">
      <w:pPr>
        <w:pStyle w:val="Style_2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</w:t>
      </w:r>
    </w:p>
    <w:p w14:paraId="0A000000">
      <w:pPr>
        <w:pStyle w:val="Style_2"/>
        <w:ind w:firstLine="567" w:left="0"/>
        <w:jc w:val="center"/>
        <w:rPr>
          <w:rFonts w:ascii="Times New Roman" w:hAnsi="Times New Roman"/>
          <w:sz w:val="28"/>
        </w:rPr>
      </w:pPr>
    </w:p>
    <w:p w14:paraId="0B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«__» июля 2026 г.</w:t>
      </w:r>
      <w:r>
        <w:rPr>
          <w:rFonts w:ascii="Times New Roman" w:hAnsi="Times New Roman"/>
          <w:sz w:val="28"/>
        </w:rPr>
        <w:t xml:space="preserve">                     </w:t>
      </w:r>
      <w:r>
        <w:rPr>
          <w:rFonts w:ascii="Times New Roman" w:hAnsi="Times New Roman"/>
          <w:sz w:val="28"/>
        </w:rPr>
        <w:t>№___</w:t>
      </w:r>
      <w:r>
        <w:rPr>
          <w:rFonts w:ascii="Times New Roman" w:hAnsi="Times New Roman"/>
          <w:sz w:val="28"/>
        </w:rPr>
        <w:t xml:space="preserve">                           </w:t>
      </w:r>
      <w:r>
        <w:rPr>
          <w:rFonts w:ascii="Times New Roman" w:hAnsi="Times New Roman"/>
          <w:sz w:val="28"/>
        </w:rPr>
        <w:t xml:space="preserve">             с. Кагальник</w:t>
      </w:r>
    </w:p>
    <w:p w14:paraId="0C000000">
      <w:pPr>
        <w:pStyle w:val="Style_2"/>
        <w:ind w:firstLine="567" w:left="0"/>
        <w:rPr>
          <w:rFonts w:ascii="Times New Roman" w:hAnsi="Times New Roman"/>
          <w:sz w:val="28"/>
        </w:rPr>
      </w:pPr>
    </w:p>
    <w:p w14:paraId="0D000000">
      <w:pPr>
        <w:pStyle w:val="Style_2"/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внесении изменений в постановление </w:t>
      </w:r>
    </w:p>
    <w:p w14:paraId="0E000000">
      <w:pPr>
        <w:pStyle w:val="Style_2"/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Кагальницкого сельского </w:t>
      </w:r>
    </w:p>
    <w:p w14:paraId="0F000000">
      <w:pPr>
        <w:pStyle w:val="Style_2"/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поселения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  25.10.2018 г. №14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 </w:t>
      </w:r>
    </w:p>
    <w:p w14:paraId="10000000">
      <w:pPr>
        <w:pStyle w:val="Style_2"/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«Об утверждении муниципальной программы</w:t>
      </w:r>
    </w:p>
    <w:p w14:paraId="11000000">
      <w:pPr>
        <w:pStyle w:val="Style_2"/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«Энергоэффективность и развитее энергетики»</w:t>
      </w:r>
    </w:p>
    <w:p w14:paraId="12000000">
      <w:pPr>
        <w:pStyle w:val="Style_2"/>
        <w:ind w:firstLine="567" w:left="0"/>
        <w:rPr>
          <w:rFonts w:ascii="Times New Roman" w:hAnsi="Times New Roman"/>
          <w:sz w:val="28"/>
        </w:rPr>
      </w:pPr>
    </w:p>
    <w:p w14:paraId="13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постановлениями Администрации Кагальницкого сельского поселения от 27.11.2024 № 232 «Об утверждении Порядка разработки, реализации и оценки эффективности муниципальных программ Кагальницкого сельского поселения», распоряжением главы Администрации от 25.12.2024 №68 «Об утверждении Перечня муниципальных программ Кагальницкого сельского поселения»,  </w:t>
      </w:r>
      <w:r>
        <w:rPr>
          <w:rFonts w:ascii="Times New Roman" w:hAnsi="Times New Roman"/>
          <w:sz w:val="28"/>
        </w:rPr>
        <w:t xml:space="preserve">Решением Собрания депутатов Кагальницкого сельского поселения от 26.06.2026 г. №132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О внесении изменений в Решение </w:t>
      </w:r>
      <w:r>
        <w:rPr>
          <w:rFonts w:ascii="Times New Roman" w:hAnsi="Times New Roman"/>
          <w:sz w:val="28"/>
        </w:rPr>
        <w:t xml:space="preserve">Собрания депутатов Кагальницкого сельского </w:t>
      </w:r>
      <w:r>
        <w:rPr>
          <w:rFonts w:ascii="Times New Roman" w:hAnsi="Times New Roman"/>
          <w:sz w:val="28"/>
        </w:rPr>
        <w:t xml:space="preserve">поселения от 25 декабря 2025 года № 120 </w:t>
      </w:r>
      <w:r>
        <w:rPr>
          <w:rFonts w:ascii="Times New Roman" w:hAnsi="Times New Roman"/>
          <w:sz w:val="28"/>
        </w:rPr>
        <w:t xml:space="preserve">«О бюджете Кагальницкого сельского </w:t>
      </w:r>
      <w:r>
        <w:rPr>
          <w:rFonts w:ascii="Times New Roman" w:hAnsi="Times New Roman"/>
          <w:sz w:val="28"/>
        </w:rPr>
        <w:t xml:space="preserve">поселения </w:t>
      </w:r>
      <w:r>
        <w:rPr>
          <w:rFonts w:ascii="Times New Roman" w:hAnsi="Times New Roman"/>
          <w:sz w:val="28"/>
        </w:rPr>
        <w:t xml:space="preserve">Азовского района на 2026 год и </w:t>
      </w:r>
      <w:r>
        <w:rPr>
          <w:rFonts w:ascii="Times New Roman" w:hAnsi="Times New Roman"/>
          <w:sz w:val="28"/>
        </w:rPr>
        <w:t>плановый период 2027 – 2028 годов»</w:t>
      </w:r>
      <w:r>
        <w:rPr>
          <w:rFonts w:ascii="Times New Roman" w:hAnsi="Times New Roman"/>
          <w:sz w:val="28"/>
        </w:rPr>
        <w:t>, Администрация Кагальницкого сельского поселения</w:t>
      </w:r>
    </w:p>
    <w:p w14:paraId="14000000">
      <w:pPr>
        <w:pStyle w:val="Style_2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ПОСТАНОВЛЯЕТ:</w:t>
      </w:r>
    </w:p>
    <w:p w14:paraId="15000000">
      <w:pPr>
        <w:pStyle w:val="Style_2"/>
        <w:ind w:firstLine="567" w:left="0"/>
        <w:jc w:val="center"/>
        <w:rPr>
          <w:rFonts w:ascii="Times New Roman" w:hAnsi="Times New Roman"/>
          <w:sz w:val="28"/>
        </w:rPr>
      </w:pPr>
    </w:p>
    <w:p w14:paraId="16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Утвердить муниципальную программу «</w:t>
      </w:r>
      <w:r>
        <w:rPr>
          <w:rFonts w:ascii="Times New Roman" w:hAnsi="Times New Roman"/>
          <w:sz w:val="28"/>
        </w:rPr>
        <w:t>Энергоэффективность и развитее энергетики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согласно приложению №1.</w:t>
      </w:r>
    </w:p>
    <w:p w14:paraId="17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  </w:t>
      </w:r>
      <w:r>
        <w:rPr>
          <w:rFonts w:ascii="Times New Roman" w:hAnsi="Times New Roman"/>
          <w:sz w:val="28"/>
        </w:rPr>
        <w:t xml:space="preserve"> Настоящее постановление вступает в силу со дня его официального опубликования и действует на правоотношения, возникшие с 01 января 2026 года, </w:t>
      </w:r>
      <w:r>
        <w:rPr>
          <w:rFonts w:ascii="Times New Roman" w:hAnsi="Times New Roman"/>
          <w:sz w:val="28"/>
        </w:rPr>
        <w:t>подлежит размещению на официальном сайте Администрации Кагальницкого сельского поселения</w:t>
      </w:r>
      <w:r>
        <w:rPr>
          <w:rFonts w:ascii="Times New Roman" w:hAnsi="Times New Roman"/>
          <w:sz w:val="28"/>
        </w:rPr>
        <w:t>.</w:t>
      </w:r>
    </w:p>
    <w:p w14:paraId="18000000">
      <w:pPr>
        <w:pStyle w:val="Style_2"/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3.  Контроль за исполнением постановления оставляю за собой.</w:t>
      </w:r>
    </w:p>
    <w:p w14:paraId="19000000">
      <w:pPr>
        <w:pStyle w:val="Style_2"/>
        <w:ind w:firstLine="567" w:left="0"/>
        <w:rPr>
          <w:rFonts w:ascii="Times New Roman" w:hAnsi="Times New Roman"/>
          <w:sz w:val="28"/>
        </w:rPr>
      </w:pPr>
    </w:p>
    <w:p w14:paraId="1A000000">
      <w:pPr>
        <w:pStyle w:val="Style_2"/>
        <w:ind w:firstLine="567" w:left="0"/>
        <w:rPr>
          <w:rFonts w:ascii="Times New Roman" w:hAnsi="Times New Roman"/>
          <w:sz w:val="28"/>
        </w:rPr>
      </w:pPr>
    </w:p>
    <w:p w14:paraId="1B000000">
      <w:pPr>
        <w:pStyle w:val="Style_2"/>
        <w:ind w:firstLine="567" w:left="0"/>
        <w:rPr>
          <w:rFonts w:ascii="Times New Roman" w:hAnsi="Times New Roman"/>
          <w:sz w:val="28"/>
        </w:rPr>
      </w:pPr>
    </w:p>
    <w:p w14:paraId="1C000000">
      <w:pPr>
        <w:pStyle w:val="Style_2"/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Администрации</w:t>
      </w:r>
    </w:p>
    <w:p w14:paraId="1D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Кагальницкого сельского поселения                             </w:t>
      </w:r>
      <w:r>
        <w:rPr>
          <w:rFonts w:ascii="Times New Roman" w:hAnsi="Times New Roman"/>
          <w:sz w:val="28"/>
        </w:rPr>
        <w:t xml:space="preserve">          Малерян К.А.</w:t>
      </w:r>
    </w:p>
    <w:p w14:paraId="1E000000">
      <w:pPr>
        <w:pStyle w:val="Style_2"/>
        <w:ind w:firstLine="567" w:left="0"/>
        <w:rPr>
          <w:rFonts w:ascii="Times New Roman" w:hAnsi="Times New Roman"/>
          <w:sz w:val="28"/>
        </w:rPr>
      </w:pPr>
    </w:p>
    <w:p w14:paraId="1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Вносит сектор экономики и финансов</w:t>
      </w:r>
    </w:p>
    <w:p w14:paraId="20000000">
      <w:pPr>
        <w:pStyle w:val="Style_2"/>
        <w:ind w:firstLine="567" w:left="0"/>
        <w:rPr>
          <w:rFonts w:ascii="Times New Roman" w:hAnsi="Times New Roman"/>
          <w:sz w:val="28"/>
        </w:rPr>
      </w:pPr>
    </w:p>
    <w:p w14:paraId="21000000">
      <w:pPr>
        <w:pStyle w:val="Style_2"/>
        <w:ind w:firstLine="567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 1</w:t>
      </w:r>
    </w:p>
    <w:p w14:paraId="22000000">
      <w:pPr>
        <w:pStyle w:val="Style_2"/>
        <w:ind w:firstLine="567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 проекту постановления Администрации</w:t>
      </w:r>
    </w:p>
    <w:p w14:paraId="23000000">
      <w:pPr>
        <w:pStyle w:val="Style_2"/>
        <w:ind w:firstLine="567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Кагальницкого сельского поселения</w:t>
      </w:r>
    </w:p>
    <w:p w14:paraId="24000000">
      <w:pPr>
        <w:pStyle w:val="Style_2"/>
        <w:ind w:firstLine="567" w:left="0"/>
        <w:jc w:val="right"/>
        <w:rPr>
          <w:rFonts w:ascii="Times New Roman" w:hAnsi="Times New Roman"/>
          <w:sz w:val="28"/>
        </w:rPr>
      </w:pPr>
    </w:p>
    <w:p w14:paraId="25000000">
      <w:pPr>
        <w:pStyle w:val="Style_2"/>
        <w:ind w:firstLine="567" w:left="0"/>
        <w:rPr>
          <w:rFonts w:ascii="Times New Roman" w:hAnsi="Times New Roman"/>
          <w:sz w:val="28"/>
        </w:rPr>
      </w:pPr>
    </w:p>
    <w:p w14:paraId="26000000">
      <w:pPr>
        <w:numPr>
          <w:numId w:val="1"/>
        </w:numPr>
        <w:spacing w:after="0" w:line="240" w:lineRule="auto"/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 муниципальной программы изложить в следующей редакции:</w:t>
      </w:r>
    </w:p>
    <w:p w14:paraId="27000000">
      <w:pPr>
        <w:pStyle w:val="Style_2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Паспорт </w:t>
      </w:r>
    </w:p>
    <w:p w14:paraId="28000000">
      <w:pPr>
        <w:pStyle w:val="Style_2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Fonts w:ascii="Times New Roman" w:hAnsi="Times New Roman"/>
          <w:sz w:val="28"/>
        </w:rPr>
        <w:t>Кагальниц</w:t>
      </w:r>
      <w:r>
        <w:rPr>
          <w:rFonts w:ascii="Times New Roman" w:hAnsi="Times New Roman"/>
          <w:sz w:val="28"/>
        </w:rPr>
        <w:t>кого сельского поселения</w:t>
      </w:r>
    </w:p>
    <w:p w14:paraId="29000000">
      <w:pPr>
        <w:pStyle w:val="Style_2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Энергоэффективность и развитее энергетики</w:t>
      </w:r>
      <w:r>
        <w:rPr>
          <w:rFonts w:ascii="Times New Roman" w:hAnsi="Times New Roman"/>
          <w:sz w:val="28"/>
        </w:rPr>
        <w:t>»</w:t>
      </w:r>
    </w:p>
    <w:p w14:paraId="2A000000">
      <w:pPr>
        <w:pStyle w:val="Style_2"/>
        <w:ind w:firstLine="567" w:left="0"/>
        <w:jc w:val="center"/>
        <w:rPr>
          <w:rFonts w:ascii="Times New Roman" w:hAnsi="Times New Roman"/>
          <w:sz w:val="28"/>
        </w:rPr>
      </w:pPr>
    </w:p>
    <w:p w14:paraId="2B000000">
      <w:pPr>
        <w:pStyle w:val="Style_2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1.Основные положения</w:t>
      </w:r>
    </w:p>
    <w:p w14:paraId="2C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876"/>
        <w:gridCol w:w="400"/>
        <w:gridCol w:w="5938"/>
      </w:tblGrid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1.1.Куратор муниципальной программы</w:t>
            </w:r>
          </w:p>
          <w:p w14:paraId="2E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Малерян Камо Артаваздович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 xml:space="preserve">глава Администрации </w:t>
            </w:r>
            <w:r>
              <w:rPr>
                <w:rFonts w:ascii="Times New Roman" w:hAnsi="Times New Roman"/>
                <w:sz w:val="28"/>
              </w:rPr>
              <w:t>Кагальниц</w:t>
            </w:r>
            <w:r>
              <w:rPr>
                <w:rFonts w:ascii="Times New Roman" w:hAnsi="Times New Roman"/>
                <w:sz w:val="28"/>
              </w:rPr>
              <w:t>кого сельского поселения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1.2.Ответственный исполнитель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Фридриков Вячеслав Александрович – заместитель главы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Администрации </w:t>
            </w:r>
            <w:r>
              <w:rPr>
                <w:rFonts w:ascii="Times New Roman" w:hAnsi="Times New Roman"/>
                <w:sz w:val="28"/>
              </w:rPr>
              <w:t>Кагальниц</w:t>
            </w:r>
            <w:r>
              <w:rPr>
                <w:rFonts w:ascii="Times New Roman" w:hAnsi="Times New Roman"/>
                <w:sz w:val="28"/>
              </w:rPr>
              <w:t xml:space="preserve">кого сельского поселения 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35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1.3.Срок реализации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37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    </w:t>
            </w: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39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 I: 2019-2024 годы;</w:t>
            </w:r>
          </w:p>
          <w:p w14:paraId="3A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 II: 2025-2030 годы;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1.4.Цели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r>
              <w:rPr>
                <w:rFonts w:ascii="Times New Roman" w:hAnsi="Times New Roman"/>
                <w:sz w:val="28"/>
              </w:rPr>
              <w:t>стимулирование энергосбережения.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1.5.Параметры финансового обеспечения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40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41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  <w:p w14:paraId="42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бюджетных ассигнований на реализацию муниципальной программы из средств бюджета сельского поселения составляет 113,2 тыс. рублей, в том числе:</w:t>
            </w:r>
          </w:p>
          <w:p w14:paraId="44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2019 года по 2024 год</w:t>
            </w:r>
            <w:r>
              <w:rPr>
                <w:rFonts w:ascii="Times New Roman" w:hAnsi="Times New Roman"/>
                <w:sz w:val="28"/>
              </w:rPr>
              <w:t xml:space="preserve"> – </w:t>
            </w:r>
            <w:r>
              <w:rPr>
                <w:rFonts w:ascii="Times New Roman" w:hAnsi="Times New Roman"/>
                <w:sz w:val="28"/>
              </w:rPr>
              <w:t>79,5</w:t>
            </w:r>
            <w:r>
              <w:rPr>
                <w:rFonts w:ascii="Times New Roman" w:hAnsi="Times New Roman"/>
                <w:sz w:val="28"/>
              </w:rPr>
              <w:t xml:space="preserve"> ты</w:t>
            </w:r>
            <w:r>
              <w:rPr>
                <w:rFonts w:ascii="Times New Roman" w:hAnsi="Times New Roman"/>
                <w:sz w:val="28"/>
              </w:rPr>
              <w:t>с. рублей;</w:t>
            </w:r>
          </w:p>
          <w:p w14:paraId="45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2025 год – 10,0 </w:t>
            </w:r>
            <w:r>
              <w:rPr>
                <w:rFonts w:ascii="Times New Roman" w:hAnsi="Times New Roman"/>
                <w:sz w:val="28"/>
              </w:rPr>
              <w:t>тыс. р</w:t>
            </w:r>
            <w:r>
              <w:rPr>
                <w:rFonts w:ascii="Times New Roman" w:hAnsi="Times New Roman"/>
                <w:sz w:val="28"/>
              </w:rPr>
              <w:t>ублей;</w:t>
            </w:r>
          </w:p>
          <w:p w14:paraId="46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3,7</w:t>
            </w:r>
            <w:r>
              <w:rPr>
                <w:rFonts w:ascii="Times New Roman" w:hAnsi="Times New Roman"/>
                <w:sz w:val="28"/>
              </w:rPr>
              <w:t xml:space="preserve"> тыс. рублей;</w:t>
            </w:r>
          </w:p>
          <w:p w14:paraId="47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 – 10</w:t>
            </w:r>
            <w:r>
              <w:rPr>
                <w:rFonts w:ascii="Times New Roman" w:hAnsi="Times New Roman"/>
                <w:sz w:val="28"/>
              </w:rPr>
              <w:t>,0</w:t>
            </w:r>
            <w:r>
              <w:rPr>
                <w:rFonts w:ascii="Times New Roman" w:hAnsi="Times New Roman"/>
                <w:sz w:val="28"/>
              </w:rPr>
              <w:t xml:space="preserve"> тыс. рублей;</w:t>
            </w:r>
          </w:p>
          <w:p w14:paraId="48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 год – 1</w:t>
            </w:r>
            <w:r>
              <w:rPr>
                <w:rFonts w:ascii="Times New Roman" w:hAnsi="Times New Roman"/>
                <w:sz w:val="28"/>
              </w:rPr>
              <w:t>0,0</w:t>
            </w:r>
            <w:r>
              <w:rPr>
                <w:rFonts w:ascii="Times New Roman" w:hAnsi="Times New Roman"/>
                <w:sz w:val="28"/>
              </w:rPr>
              <w:t xml:space="preserve"> тыс. рублей.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1.6.Связь с </w:t>
            </w:r>
            <w:r>
              <w:rPr>
                <w:rFonts w:ascii="Times New Roman" w:hAnsi="Times New Roman"/>
                <w:sz w:val="28"/>
              </w:rPr>
              <w:t>государственными программами Ростовской области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отсутствует</w:t>
            </w:r>
          </w:p>
        </w:tc>
      </w:tr>
    </w:tbl>
    <w:p w14:paraId="4C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</w:p>
    <w:p w14:paraId="4D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</w:p>
    <w:p w14:paraId="4E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</w:p>
    <w:p w14:paraId="4F000000">
      <w:pPr>
        <w:sectPr>
          <w:footerReference r:id="rId1" w:type="default"/>
          <w:pgSz w:h="16838" w:orient="portrait" w:w="11906"/>
          <w:pgMar w:bottom="568" w:footer="720" w:gutter="0" w:header="720" w:left="1701" w:right="991" w:top="850"/>
        </w:sectPr>
      </w:pPr>
    </w:p>
    <w:p w14:paraId="50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</w:p>
    <w:p w14:paraId="51000000">
      <w:pPr>
        <w:pStyle w:val="Style_2"/>
        <w:numPr>
          <w:numId w:val="1"/>
        </w:numPr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3 паспорта муниципальной программы изложить в следующей редакции:</w:t>
      </w:r>
    </w:p>
    <w:p w14:paraId="52000000">
      <w:pPr>
        <w:pStyle w:val="Style_2"/>
        <w:ind/>
        <w:jc w:val="center"/>
        <w:rPr>
          <w:rFonts w:ascii="Times New Roman" w:hAnsi="Times New Roman"/>
          <w:sz w:val="28"/>
        </w:rPr>
      </w:pPr>
    </w:p>
    <w:p w14:paraId="53000000">
      <w:pPr>
        <w:pStyle w:val="Style_2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Финансовое обеспечение муниципальной программы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Кагальниц</w:t>
      </w:r>
      <w:r>
        <w:rPr>
          <w:rFonts w:ascii="Times New Roman" w:hAnsi="Times New Roman"/>
          <w:sz w:val="28"/>
        </w:rPr>
        <w:t>кого сельского поселения</w:t>
      </w:r>
    </w:p>
    <w:p w14:paraId="54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46"/>
        <w:gridCol w:w="8801"/>
        <w:gridCol w:w="1202"/>
        <w:gridCol w:w="1202"/>
        <w:gridCol w:w="1202"/>
        <w:gridCol w:w="1202"/>
      </w:tblGrid>
      <w:tr>
        <w:tc>
          <w:tcPr>
            <w:tcW w:type="dxa" w:w="54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</w:t>
            </w:r>
          </w:p>
          <w:p w14:paraId="56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п/п</w:t>
            </w:r>
          </w:p>
        </w:tc>
        <w:tc>
          <w:tcPr>
            <w:tcW w:type="dxa" w:w="88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type="dxa" w:w="480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Объем расходов по годам реализации (тыс. рублей)</w:t>
            </w:r>
          </w:p>
        </w:tc>
      </w:tr>
      <w:t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2026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2027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2028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Всего </w:t>
            </w:r>
          </w:p>
        </w:tc>
      </w:tr>
      <w:tr>
        <w:tc>
          <w:tcPr>
            <w:tcW w:type="dxa" w:w="54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00000">
            <w:pPr>
              <w:pStyle w:val="Style_2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22"/>
              </w:rPr>
              <w:t>Кагальниц</w:t>
            </w:r>
            <w:r>
              <w:rPr>
                <w:rFonts w:ascii="Times New Roman" w:hAnsi="Times New Roman"/>
                <w:sz w:val="22"/>
              </w:rPr>
              <w:t>кого сельского поселени</w:t>
            </w:r>
            <w:r>
              <w:rPr>
                <w:rFonts w:ascii="Times New Roman" w:hAnsi="Times New Roman"/>
                <w:sz w:val="22"/>
              </w:rPr>
              <w:t xml:space="preserve">я </w:t>
            </w:r>
            <w:r>
              <w:rPr>
                <w:rStyle w:val="Style_2_ch"/>
                <w:rFonts w:ascii="Times New Roman" w:hAnsi="Times New Roman"/>
                <w:sz w:val="22"/>
              </w:rPr>
              <w:t>«</w:t>
            </w:r>
            <w:r>
              <w:rPr>
                <w:rStyle w:val="Style_2_ch"/>
                <w:rFonts w:ascii="Times New Roman" w:hAnsi="Times New Roman"/>
                <w:sz w:val="22"/>
              </w:rPr>
              <w:t>Энергоэффективность и развитее энергети</w:t>
            </w:r>
            <w:r>
              <w:rPr>
                <w:rStyle w:val="Style_2_ch"/>
                <w:rFonts w:ascii="Times New Roman" w:hAnsi="Times New Roman"/>
                <w:sz w:val="22"/>
              </w:rPr>
              <w:t>ки</w:t>
            </w:r>
            <w:r>
              <w:rPr>
                <w:rFonts w:ascii="Times New Roman" w:hAnsi="Times New Roman"/>
                <w:sz w:val="22"/>
              </w:rPr>
              <w:t>»</w:t>
            </w:r>
            <w:r>
              <w:rPr>
                <w:rFonts w:ascii="Times New Roman" w:hAnsi="Times New Roman"/>
                <w:sz w:val="22"/>
              </w:rPr>
              <w:t xml:space="preserve"> (всего), в том числе: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3,7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23,7</w:t>
            </w:r>
          </w:p>
        </w:tc>
      </w:tr>
      <w:t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00000">
            <w:pPr>
              <w:pStyle w:val="Style_2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3,7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23,7</w:t>
            </w:r>
          </w:p>
        </w:tc>
      </w:tr>
      <w:t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00000">
            <w:pPr>
              <w:pStyle w:val="Style_2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Областной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00000">
            <w:pPr>
              <w:pStyle w:val="Style_2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00000">
            <w:pPr>
              <w:pStyle w:val="Style_2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Внебюджетные источники 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1.1</w:t>
            </w: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00000">
            <w:pPr>
              <w:pStyle w:val="Style_2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Комплекс процессных мероприят</w:t>
            </w:r>
            <w:r>
              <w:rPr>
                <w:rFonts w:ascii="Times New Roman" w:hAnsi="Times New Roman"/>
                <w:sz w:val="22"/>
              </w:rPr>
              <w:t xml:space="preserve">ий " </w:t>
            </w:r>
            <w:r>
              <w:rPr>
                <w:rStyle w:val="Style_2_ch"/>
                <w:rFonts w:ascii="Times New Roman" w:hAnsi="Times New Roman"/>
                <w:sz w:val="22"/>
              </w:rPr>
              <w:t>Энергосбережение и повышение энергетической эффективности в сельских поселениях</w:t>
            </w:r>
            <w:r>
              <w:rPr>
                <w:rFonts w:ascii="Times New Roman" w:hAnsi="Times New Roman"/>
                <w:sz w:val="22"/>
              </w:rPr>
              <w:t xml:space="preserve">" </w:t>
            </w:r>
            <w:r>
              <w:rPr>
                <w:rFonts w:ascii="Times New Roman" w:hAnsi="Times New Roman"/>
                <w:sz w:val="22"/>
              </w:rPr>
              <w:t xml:space="preserve"> (всего), в том числе: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3,7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23,7</w:t>
            </w:r>
          </w:p>
        </w:tc>
      </w:tr>
      <w:t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00000">
            <w:pPr>
              <w:pStyle w:val="Style_2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3,7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23,7</w:t>
            </w:r>
          </w:p>
        </w:tc>
      </w:tr>
      <w:t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00000">
            <w:pPr>
              <w:pStyle w:val="Style_2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Областной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00000">
            <w:pPr>
              <w:pStyle w:val="Style_2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00000">
            <w:pPr>
              <w:pStyle w:val="Style_2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Внебюджетные источники 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</w:tbl>
    <w:p w14:paraId="95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</w:p>
    <w:p w14:paraId="96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</w:p>
    <w:p w14:paraId="97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</w:p>
    <w:p w14:paraId="98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</w:p>
    <w:p w14:paraId="99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</w:p>
    <w:p w14:paraId="9A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</w:p>
    <w:p w14:paraId="9B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>3. Пункт 4 паспорта комплекса процессных мероприятий «</w:t>
      </w:r>
      <w:r>
        <w:rPr>
          <w:rStyle w:val="Style_4_ch"/>
          <w:rFonts w:ascii="Times New Roman" w:hAnsi="Times New Roman"/>
          <w:sz w:val="28"/>
        </w:rPr>
        <w:t>Профилактика экстремизма и терроризма в сельском поселении</w:t>
      </w:r>
      <w:r>
        <w:rPr>
          <w:rStyle w:val="Style_4_ch"/>
          <w:rFonts w:ascii="Times New Roman" w:hAnsi="Times New Roman"/>
          <w:sz w:val="28"/>
        </w:rPr>
        <w:t>» изложить в следующей редакции:</w:t>
      </w:r>
    </w:p>
    <w:p w14:paraId="9C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</w:p>
    <w:p w14:paraId="9D000000">
      <w:pPr>
        <w:pStyle w:val="Style_2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Параметры финансового обеспечения комплекса процессных мероприятий</w:t>
      </w:r>
    </w:p>
    <w:p w14:paraId="9E000000">
      <w:pPr>
        <w:pStyle w:val="Style_2"/>
        <w:ind w:firstLine="567" w:left="0"/>
        <w:jc w:val="center"/>
        <w:rPr>
          <w:rFonts w:ascii="Times New Roman" w:hAnsi="Times New Roman"/>
          <w:sz w:val="28"/>
        </w:rPr>
      </w:pP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87"/>
        <w:gridCol w:w="6606"/>
        <w:gridCol w:w="2559"/>
        <w:gridCol w:w="1066"/>
        <w:gridCol w:w="1066"/>
        <w:gridCol w:w="1012"/>
        <w:gridCol w:w="1259"/>
      </w:tblGrid>
      <w:tr>
        <w:tc>
          <w:tcPr>
            <w:tcW w:type="dxa" w:w="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</w:t>
            </w:r>
          </w:p>
          <w:p w14:paraId="A0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п/п</w:t>
            </w:r>
          </w:p>
        </w:tc>
        <w:tc>
          <w:tcPr>
            <w:tcW w:type="dxa" w:w="66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type="dxa" w:w="2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Код бюджетной классификации расходов</w:t>
            </w:r>
          </w:p>
        </w:tc>
        <w:tc>
          <w:tcPr>
            <w:tcW w:type="dxa" w:w="440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Объем расходов по годам реализации (тыс. рублей)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2026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2027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2028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Всего</w:t>
            </w:r>
          </w:p>
        </w:tc>
      </w:tr>
      <w:tr>
        <w:tc>
          <w:tcPr>
            <w:tcW w:type="dxa" w:w="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00000">
            <w:pPr>
              <w:pStyle w:val="Style_2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Комплекс процессных мероприятий "</w:t>
            </w:r>
            <w:r>
              <w:rPr>
                <w:rFonts w:ascii="Times New Roman" w:hAnsi="Times New Roman"/>
                <w:sz w:val="22"/>
              </w:rPr>
              <w:t>Э</w:t>
            </w:r>
            <w:r>
              <w:rPr>
                <w:rStyle w:val="Style_2_ch"/>
                <w:rFonts w:ascii="Times New Roman" w:hAnsi="Times New Roman"/>
                <w:sz w:val="22"/>
              </w:rPr>
              <w:t>нергосбережение и повышение энергетической эффективности в сельских поселениях</w:t>
            </w:r>
            <w:r>
              <w:rPr>
                <w:rFonts w:ascii="Times New Roman" w:hAnsi="Times New Roman"/>
                <w:sz w:val="22"/>
              </w:rPr>
              <w:t>" (всего), в том числе:</w:t>
            </w:r>
          </w:p>
        </w:tc>
        <w:tc>
          <w:tcPr>
            <w:tcW w:type="dxa" w:w="2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Х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3,7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23,7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00000">
            <w:pPr>
              <w:pStyle w:val="Style_2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3,7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23,7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00000">
            <w:pPr>
              <w:pStyle w:val="Style_2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Областной бюджет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00000">
            <w:pPr>
              <w:pStyle w:val="Style_2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00000">
            <w:pPr>
              <w:pStyle w:val="Style_2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Внебюджетные источники 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00000">
            <w:pPr>
              <w:pStyle w:val="Style_2"/>
              <w:ind w:firstLine="0"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 xml:space="preserve">Мероприятие (результат) 1. </w:t>
            </w:r>
            <w:r>
              <w:rPr>
                <w:rFonts w:ascii="Times New Roman" w:hAnsi="Times New Roman"/>
                <w:sz w:val="22"/>
              </w:rPr>
              <w:t>"</w:t>
            </w:r>
            <w:r>
              <w:rPr>
                <w:rStyle w:val="Style_4_ch"/>
                <w:rFonts w:ascii="Times New Roman" w:hAnsi="Times New Roman"/>
                <w:sz w:val="24"/>
              </w:rPr>
              <w:t>Мероприятие по замене ламп накаливания и других неэффективных элементов систем освещения, в том числе светильников, на энергосберегающие (в том числе не менее 30% от объема на основе светодиодов)</w:t>
            </w:r>
            <w:r>
              <w:rPr>
                <w:rFonts w:ascii="Times New Roman" w:hAnsi="Times New Roman"/>
                <w:sz w:val="22"/>
              </w:rPr>
              <w:t>"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6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3,7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23,7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00000">
            <w:pPr>
              <w:pStyle w:val="Style_2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951 0104 0540128430 240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3,7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23,7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00000">
            <w:pPr>
              <w:pStyle w:val="Style_2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Областной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00000">
            <w:pPr>
              <w:pStyle w:val="Style_2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Федеральный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00000">
            <w:pPr>
              <w:pStyle w:val="Style_2"/>
              <w:ind w:firstLine="0" w:lef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Внебюджетные источники 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00000">
            <w:pPr>
              <w:pStyle w:val="Style_2"/>
              <w:ind w:firstLine="567" w:left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00000">
            <w:pPr>
              <w:pStyle w:val="Style_2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0,0</w:t>
            </w:r>
          </w:p>
        </w:tc>
      </w:tr>
    </w:tbl>
    <w:p w14:paraId="E6000000">
      <w:pPr>
        <w:pStyle w:val="Style_2"/>
        <w:ind w:firstLine="567" w:left="0"/>
        <w:jc w:val="both"/>
        <w:rPr>
          <w:rFonts w:ascii="Times New Roman" w:hAnsi="Times New Roman"/>
          <w:sz w:val="28"/>
        </w:rPr>
      </w:pPr>
    </w:p>
    <w:p w14:paraId="E7000000">
      <w:pPr>
        <w:widowControl w:val="0"/>
        <w:ind/>
        <w:jc w:val="center"/>
        <w:outlineLvl w:val="1"/>
        <w:rPr>
          <w:sz w:val="28"/>
        </w:rPr>
      </w:pPr>
    </w:p>
    <w:sectPr>
      <w:footerReference r:id="rId2" w:type="default"/>
      <w:type w:val="nextPage"/>
      <w:pgSz w:h="11908" w:orient="landscape" w:w="16848"/>
      <w:pgMar w:bottom="567" w:footer="720" w:gutter="0" w:header="720" w:left="1701" w:right="992" w:top="85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right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/>
      <w:jc w:val="right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160" w:line="264" w:lineRule="auto"/>
      <w:ind/>
    </w:pPr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ConsPlusCell"/>
    <w:link w:val="Style_10_ch"/>
    <w:pPr>
      <w:spacing w:after="0" w:line="240" w:lineRule="auto"/>
      <w:ind/>
    </w:pPr>
    <w:rPr>
      <w:rFonts w:ascii="Times New Roman" w:hAnsi="Times New Roman"/>
      <w:sz w:val="24"/>
    </w:rPr>
  </w:style>
  <w:style w:styleId="Style_10_ch" w:type="character">
    <w:name w:val="ConsPlusCell"/>
    <w:link w:val="Style_10"/>
    <w:rPr>
      <w:rFonts w:ascii="Times New Roman" w:hAnsi="Times New Roman"/>
      <w:sz w:val="24"/>
    </w:rPr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4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2" w:type="paragraph">
    <w:name w:val="No Spacing"/>
    <w:link w:val="Style_2_ch"/>
    <w:pPr>
      <w:spacing w:after="0" w:line="240" w:lineRule="auto"/>
      <w:ind/>
    </w:pPr>
  </w:style>
  <w:style w:styleId="Style_2_ch" w:type="character">
    <w:name w:val="No Spacing"/>
    <w:link w:val="Style_2"/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Balloon Text"/>
    <w:basedOn w:val="Style_4"/>
    <w:link w:val="Style_19_ch"/>
    <w:pPr>
      <w:spacing w:after="0" w:line="240" w:lineRule="auto"/>
      <w:ind/>
    </w:pPr>
    <w:rPr>
      <w:rFonts w:ascii="Tahoma" w:hAnsi="Tahoma"/>
      <w:sz w:val="16"/>
    </w:rPr>
  </w:style>
  <w:style w:styleId="Style_19_ch" w:type="character">
    <w:name w:val="Balloon Text"/>
    <w:basedOn w:val="Style_4_ch"/>
    <w:link w:val="Style_19"/>
    <w:rPr>
      <w:rFonts w:ascii="Tahoma" w:hAnsi="Tahoma"/>
      <w:sz w:val="16"/>
    </w:rPr>
  </w:style>
  <w:style w:styleId="Style_20" w:type="paragraph">
    <w:name w:val="header"/>
    <w:basedOn w:val="Style_4"/>
    <w:link w:val="Style_20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0_ch" w:type="character">
    <w:name w:val="header"/>
    <w:basedOn w:val="Style_4_ch"/>
    <w:link w:val="Style_20"/>
  </w:style>
  <w:style w:styleId="Style_21" w:type="paragraph">
    <w:name w:val="toc 8"/>
    <w:next w:val="Style_4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1" w:type="paragraph">
    <w:name w:val="footer"/>
    <w:basedOn w:val="Style_4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4_ch"/>
    <w:link w:val="Style_1"/>
  </w:style>
  <w:style w:styleId="Style_23" w:type="paragraph">
    <w:name w:val="Normal (Web)"/>
    <w:basedOn w:val="Style_4"/>
    <w:link w:val="Style_23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3_ch" w:type="character">
    <w:name w:val="Normal (Web)"/>
    <w:basedOn w:val="Style_4_ch"/>
    <w:link w:val="Style_23"/>
    <w:rPr>
      <w:rFonts w:ascii="Times New Roman" w:hAnsi="Times New Roman"/>
      <w:sz w:val="24"/>
    </w:rPr>
  </w:style>
  <w:style w:styleId="Style_24" w:type="paragraph">
    <w:name w:val="Subtitle"/>
    <w:next w:val="Style_4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4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4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4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8" w:type="paragraph">
    <w:name w:val="Default Paragraph Font"/>
    <w:link w:val="Style_28_ch"/>
  </w:style>
  <w:style w:styleId="Style_28_ch" w:type="character">
    <w:name w:val="Default Paragraph Font"/>
    <w:link w:val="Style_28"/>
  </w:style>
  <w:style w:styleId="Style_29" w:type="table">
    <w:name w:val="Table Grid"/>
    <w:basedOn w:val="Style_3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9" Target="numbering.xml" Type="http://schemas.openxmlformats.org/officeDocument/2006/relationships/numbering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2026-07-13T07:50:56Z</dcterms:modified>
</cp:coreProperties>
</file>