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«___» февраля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№ ___</w:t>
      </w:r>
      <w:r>
        <w:rPr>
          <w:rFonts w:ascii="Times New Roman" w:hAnsi="Times New Roman"/>
          <w:sz w:val="28"/>
        </w:rPr>
        <w:t xml:space="preserve"> 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Развитие сетей наружного освещения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E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25 </w:t>
      </w:r>
      <w:r>
        <w:rPr>
          <w:rStyle w:val="Style_1_ch"/>
          <w:rFonts w:ascii="Times New Roman" w:hAnsi="Times New Roman"/>
          <w:sz w:val="28"/>
        </w:rPr>
        <w:t>год</w:t>
      </w:r>
    </w:p>
    <w:p w14:paraId="0F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0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В соответствии с постановлением Администрации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от 27.11.2024 № 232 «Об утверждении Порядка разработки, реализации и оценки эффективности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от 22.10.2018 г. №135 «Об утверждении Методических рекомендаций по разработке и реализации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распоряжения от 25.12.2024 г. №68 «Об утверждении Перечня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Азовского района Ростовской области», Администрация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</w:t>
      </w:r>
    </w:p>
    <w:p w14:paraId="11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2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3000000">
      <w:pPr>
        <w:spacing w:line="240" w:lineRule="auto"/>
        <w:ind w:firstLine="709" w:left="0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муниципальной программы Кагальницкого сельского поселения  «</w:t>
      </w:r>
      <w:r>
        <w:rPr>
          <w:rFonts w:ascii="Times New Roman" w:hAnsi="Times New Roman"/>
          <w:sz w:val="28"/>
        </w:rPr>
        <w:t>Развитие сетей наружного освещения</w:t>
      </w:r>
      <w:r>
        <w:rPr>
          <w:rFonts w:ascii="Times New Roman" w:hAnsi="Times New Roman"/>
          <w:sz w:val="28"/>
        </w:rPr>
        <w:t xml:space="preserve">» </w:t>
      </w:r>
      <w:r>
        <w:rPr>
          <w:sz w:val="28"/>
        </w:rPr>
        <w:t xml:space="preserve">за </w:t>
      </w:r>
      <w:r>
        <w:rPr>
          <w:sz w:val="28"/>
        </w:rPr>
        <w:t xml:space="preserve"> </w:t>
      </w:r>
      <w:r>
        <w:rPr>
          <w:sz w:val="28"/>
        </w:rPr>
        <w:t>20</w:t>
      </w:r>
      <w:r>
        <w:rPr>
          <w:sz w:val="28"/>
        </w:rPr>
        <w:t xml:space="preserve">25 </w:t>
      </w:r>
      <w:r>
        <w:rPr>
          <w:sz w:val="28"/>
        </w:rPr>
        <w:t>год</w:t>
      </w:r>
      <w:r>
        <w:rPr>
          <w:rFonts w:ascii="Times New Roman" w:hAnsi="Times New Roman"/>
          <w:sz w:val="28"/>
        </w:rPr>
        <w:t xml:space="preserve">, согласно приложению к настоящему постановлению. </w:t>
      </w:r>
    </w:p>
    <w:p w14:paraId="14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5000000">
      <w:pPr>
        <w:widowControl w:val="0"/>
        <w:ind/>
        <w:jc w:val="both"/>
      </w:pPr>
    </w:p>
    <w:p w14:paraId="16000000">
      <w:pPr>
        <w:widowControl w:val="0"/>
        <w:ind/>
        <w:jc w:val="both"/>
      </w:pP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9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C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D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E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F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0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к проекту постановления</w:t>
      </w:r>
    </w:p>
    <w:p w14:paraId="21000000">
      <w:pPr>
        <w:spacing w:after="0"/>
        <w:ind w:firstLine="709" w:lef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Администрации Кагальницкого сельского поселения</w:t>
      </w:r>
    </w:p>
    <w:p w14:paraId="22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«Об утверждении отчета о реализации </w:t>
      </w:r>
    </w:p>
    <w:p w14:paraId="23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4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Развитие сетей наружного освещения</w:t>
      </w:r>
      <w:r>
        <w:rPr>
          <w:rStyle w:val="Style_1_ch"/>
          <w:rFonts w:ascii="Times New Roman" w:hAnsi="Times New Roman"/>
          <w:sz w:val="20"/>
        </w:rPr>
        <w:t>»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>а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2</w:t>
      </w:r>
      <w:r>
        <w:rPr>
          <w:rStyle w:val="Style_1_ch"/>
          <w:rFonts w:ascii="Times New Roman" w:hAnsi="Times New Roman"/>
          <w:sz w:val="20"/>
        </w:rPr>
        <w:t>0</w:t>
      </w:r>
      <w:r>
        <w:rPr>
          <w:rStyle w:val="Style_1_ch"/>
          <w:rFonts w:ascii="Times New Roman" w:hAnsi="Times New Roman"/>
          <w:sz w:val="20"/>
        </w:rPr>
        <w:t>25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год</w:t>
      </w:r>
      <w:r>
        <w:rPr>
          <w:rFonts w:ascii="Times New Roman" w:hAnsi="Times New Roman"/>
          <w:sz w:val="28"/>
        </w:rPr>
        <w:t xml:space="preserve"> </w:t>
      </w:r>
    </w:p>
    <w:p w14:paraId="25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26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О ХОДЕ РЕАЛИЗАЦИИ МУНИЦИПАЛЬНОЙ (КОМПЛЕКСНОЙ) ПРОГРАММЫ</w:t>
      </w:r>
    </w:p>
    <w:p w14:paraId="27000000">
      <w:pPr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>«</w:t>
      </w:r>
      <w:r>
        <w:rPr>
          <w:rStyle w:val="Style_1_ch"/>
          <w:b w:val="1"/>
          <w:i w:val="1"/>
          <w:sz w:val="20"/>
        </w:rPr>
        <w:t>Развитие сетей наружного освещения</w:t>
      </w:r>
      <w:r>
        <w:rPr>
          <w:rStyle w:val="Style_1_ch"/>
          <w:b w:val="1"/>
          <w:i w:val="1"/>
          <w:sz w:val="20"/>
        </w:rPr>
        <w:t>»</w:t>
      </w:r>
    </w:p>
    <w:p w14:paraId="28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29000000">
      <w:pPr>
        <w:spacing w:after="200" w:line="276" w:lineRule="auto"/>
        <w:ind w:right="536"/>
        <w:contextualSpacing w:val="1"/>
        <w:jc w:val="center"/>
        <w:rPr>
          <w:sz w:val="20"/>
        </w:rPr>
      </w:pPr>
    </w:p>
    <w:p w14:paraId="2A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 Сведения о достижении показателей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06"/>
        <w:gridCol w:w="1164"/>
        <w:gridCol w:w="2235"/>
        <w:gridCol w:w="683"/>
        <w:gridCol w:w="835"/>
        <w:gridCol w:w="836"/>
        <w:gridCol w:w="975"/>
        <w:gridCol w:w="1114"/>
        <w:gridCol w:w="1062"/>
        <w:gridCol w:w="1521"/>
        <w:gridCol w:w="975"/>
        <w:gridCol w:w="1114"/>
        <w:gridCol w:w="696"/>
        <w:gridCol w:w="1183"/>
      </w:tblGrid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показателя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c>
          <w:tcPr>
            <w:tcW w:type="dxa" w:w="14699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</w:t>
            </w:r>
            <w:r>
              <w:rPr>
                <w:rStyle w:val="Style_1_ch"/>
                <w:i w:val="1"/>
                <w:sz w:val="16"/>
              </w:rPr>
              <w:t xml:space="preserve"> </w:t>
            </w:r>
            <w:r>
              <w:rPr>
                <w:rStyle w:val="Style_1_ch"/>
                <w:i w:val="1"/>
                <w:sz w:val="16"/>
              </w:rPr>
              <w:t>Цель муниципальной программ</w:t>
            </w:r>
            <w:r>
              <w:rPr>
                <w:rStyle w:val="Style_1_ch"/>
                <w:i w:val="1"/>
                <w:sz w:val="16"/>
              </w:rPr>
              <w:t>ы "</w:t>
            </w:r>
            <w:r>
              <w:rPr>
                <w:rStyle w:val="Style_1_ch"/>
                <w:i w:val="1"/>
                <w:sz w:val="16"/>
              </w:rPr>
              <w:t>С</w:t>
            </w:r>
            <w:r>
              <w:rPr>
                <w:rStyle w:val="Style_1_ch"/>
                <w:i w:val="1"/>
                <w:sz w:val="16"/>
              </w:rPr>
              <w:t>оздание безопасных и благоприятных условий проживания граждан и повышение уровня</w:t>
            </w:r>
            <w:r>
              <w:rPr>
                <w:rStyle w:val="Style_1_ch"/>
                <w:i w:val="1"/>
                <w:sz w:val="16"/>
              </w:rPr>
              <w:t xml:space="preserve"> освещенности улиц необходимого для комфортного проживания и отдыха жителей села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tabs>
                <w:tab w:leader="none" w:pos="2728" w:val="left"/>
              </w:tabs>
              <w:ind/>
              <w:jc w:val="left"/>
              <w:rPr>
                <w:rFonts w:ascii="Times New Roman" w:hAnsi="Times New Roman"/>
                <w:sz w:val="16"/>
              </w:rPr>
            </w:pPr>
            <w:r>
              <w:rPr>
                <w:rStyle w:val="Style_1_ch"/>
                <w:rFonts w:ascii="Times New Roman" w:hAnsi="Times New Roman"/>
                <w:sz w:val="16"/>
              </w:rPr>
              <w:t>Отсутствие просроченной кредиторской задолженности по оплате за электроэнергию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убывания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рублей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Акт сверки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pStyle w:val="Style_1"/>
              <w:tabs>
                <w:tab w:leader="none" w:pos="2728" w:val="left"/>
              </w:tabs>
              <w:ind/>
              <w:jc w:val="left"/>
              <w:rPr>
                <w:rFonts w:ascii="Times New Roman" w:hAnsi="Times New Roman"/>
                <w:sz w:val="16"/>
              </w:rPr>
            </w:pPr>
            <w:r>
              <w:rPr>
                <w:rStyle w:val="Style_1_ch"/>
                <w:rFonts w:ascii="Times New Roman" w:hAnsi="Times New Roman"/>
                <w:sz w:val="16"/>
              </w:rPr>
              <w:t xml:space="preserve">Доля трансформаторов, находящихся в реестре  муниципального </w:t>
            </w:r>
            <w:r>
              <w:rPr>
                <w:rStyle w:val="Style_1_ch"/>
                <w:rFonts w:ascii="Times New Roman" w:hAnsi="Times New Roman"/>
                <w:sz w:val="16"/>
              </w:rPr>
              <w:t>имущества</w:t>
            </w:r>
            <w:r>
              <w:rPr>
                <w:rStyle w:val="Style_1_ch"/>
                <w:rFonts w:ascii="Times New Roman" w:hAnsi="Times New Roman"/>
                <w:sz w:val="16"/>
              </w:rPr>
              <w:t xml:space="preserve">, на которые заключен договор по ремонту и обслуживанию 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Договор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 балансе администрации отсутствуют трансформаторы</w:t>
            </w:r>
          </w:p>
        </w:tc>
      </w:tr>
    </w:tbl>
    <w:p w14:paraId="64000000">
      <w:pPr>
        <w:spacing w:line="264" w:lineRule="auto"/>
        <w:ind/>
        <w:jc w:val="center"/>
        <w:rPr>
          <w:sz w:val="20"/>
        </w:rPr>
      </w:pPr>
    </w:p>
    <w:p w14:paraId="65000000">
      <w:pPr>
        <w:ind w:right="-29"/>
        <w:rPr>
          <w:sz w:val="20"/>
        </w:rPr>
      </w:pPr>
    </w:p>
    <w:p w14:paraId="66000000">
      <w:pPr>
        <w:ind w:right="-29"/>
      </w:pPr>
    </w:p>
    <w:p w14:paraId="67000000">
      <w:pPr>
        <w:spacing w:line="264" w:lineRule="auto"/>
        <w:ind w:firstLine="0" w:left="357" w:right="539"/>
        <w:jc w:val="center"/>
        <w:rPr>
          <w:sz w:val="20"/>
        </w:rPr>
      </w:pPr>
    </w:p>
    <w:p w14:paraId="68000000">
      <w:pPr>
        <w:spacing w:line="264" w:lineRule="auto"/>
        <w:ind w:firstLine="0" w:left="357" w:right="539"/>
        <w:jc w:val="center"/>
        <w:rPr>
          <w:sz w:val="20"/>
        </w:rPr>
      </w:pPr>
    </w:p>
    <w:p w14:paraId="69000000">
      <w:pPr>
        <w:spacing w:line="264" w:lineRule="auto"/>
        <w:ind w:firstLine="0" w:left="357" w:right="539"/>
        <w:jc w:val="center"/>
        <w:rPr>
          <w:sz w:val="20"/>
        </w:rPr>
      </w:pPr>
    </w:p>
    <w:p w14:paraId="6A000000">
      <w:pPr>
        <w:spacing w:line="264" w:lineRule="auto"/>
        <w:ind w:firstLine="0" w:left="357" w:right="539"/>
        <w:jc w:val="center"/>
        <w:rPr>
          <w:sz w:val="20"/>
        </w:rPr>
      </w:pPr>
      <w:r>
        <w:rPr>
          <w:sz w:val="20"/>
        </w:rPr>
        <w:t>2. Сведения об исполнении бюджетных ассигнований, предусмотренных на финансовое обеспечение реализации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98"/>
        <w:gridCol w:w="1417"/>
        <w:gridCol w:w="1134"/>
        <w:gridCol w:w="1276"/>
        <w:gridCol w:w="1276"/>
        <w:gridCol w:w="1276"/>
        <w:gridCol w:w="1275"/>
        <w:gridCol w:w="1526"/>
      </w:tblGrid>
      <w:tr>
        <w:trPr>
          <w:trHeight w:hRule="atLeast" w:val="462"/>
        </w:trPr>
        <w:tc>
          <w:tcPr>
            <w:tcW w:type="dxa" w:w="55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муниципальной программы,</w:t>
            </w:r>
          </w:p>
          <w:p w14:paraId="6C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структурного элемента и источника финансового обеспечения</w:t>
            </w:r>
          </w:p>
        </w:tc>
        <w:tc>
          <w:tcPr>
            <w:tcW w:type="dxa" w:w="382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</w:t>
            </w:r>
          </w:p>
          <w:p w14:paraId="6E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тыс. рублей</w:t>
            </w:r>
          </w:p>
        </w:tc>
        <w:tc>
          <w:tcPr>
            <w:tcW w:type="dxa" w:w="2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Исполнение, тыс. рублей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</w:t>
            </w:r>
            <w:r>
              <w:rPr>
                <w:sz w:val="16"/>
              </w:rPr>
              <w:t>0</w:t>
            </w:r>
          </w:p>
        </w:tc>
        <w:tc>
          <w:tcPr>
            <w:tcW w:type="dxa" w:w="15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  <w:p w14:paraId="72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</w:p>
        </w:tc>
      </w:tr>
      <w:tr>
        <w:trPr>
          <w:trHeight w:hRule="atLeast" w:val="652"/>
        </w:trPr>
        <w:tc>
          <w:tcPr>
            <w:tcW w:type="dxa" w:w="55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00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rPr>
                <w:sz w:val="16"/>
              </w:rPr>
            </w:pPr>
            <w:r>
              <w:rPr>
                <w:sz w:val="16"/>
              </w:rPr>
              <w:t>Муниципальная программа</w:t>
            </w:r>
            <w:r>
              <w:rPr>
                <w:rStyle w:val="Style_1_ch"/>
                <w:sz w:val="16"/>
              </w:rPr>
              <w:t xml:space="preserve"> </w:t>
            </w:r>
            <w:r>
              <w:rPr>
                <w:rStyle w:val="Style_1_ch"/>
                <w:sz w:val="16"/>
              </w:rPr>
              <w:t>Кагальницкого</w:t>
            </w:r>
            <w:r>
              <w:rPr>
                <w:rStyle w:val="Style_1_ch"/>
                <w:sz w:val="16"/>
              </w:rPr>
              <w:t xml:space="preserve"> сельского</w:t>
            </w:r>
            <w:r>
              <w:rPr>
                <w:rStyle w:val="Style_1_ch"/>
                <w:sz w:val="16"/>
              </w:rPr>
              <w:t xml:space="preserve"> поселения «</w:t>
            </w:r>
            <w:r>
              <w:rPr>
                <w:rStyle w:val="Style_1_ch"/>
                <w:sz w:val="16"/>
              </w:rPr>
              <w:t>Развитие сетей наружного освещения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4 186,0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4 186,0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96,5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4 186,0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4 186,0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96,5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rPr>
                <w:sz w:val="16"/>
              </w:rPr>
            </w:pPr>
            <w:r>
              <w:rPr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 мероприяти</w:t>
            </w:r>
            <w:r>
              <w:rPr>
                <w:rStyle w:val="Style_1_ch"/>
                <w:sz w:val="16"/>
              </w:rPr>
              <w:t>й "</w:t>
            </w:r>
            <w:r>
              <w:rPr>
                <w:rStyle w:val="Style_1_ch"/>
                <w:sz w:val="16"/>
              </w:rPr>
              <w:t>Развитие сетей наружного освещения</w:t>
            </w:r>
            <w:r>
              <w:rPr>
                <w:rStyle w:val="Style_1_ch"/>
                <w:sz w:val="16"/>
              </w:rPr>
              <w:t>"  (всего</w:t>
            </w:r>
            <w:r>
              <w:rPr>
                <w:rStyle w:val="Style_1_ch"/>
                <w:sz w:val="16"/>
              </w:rPr>
              <w:t>), в том числе: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4 186,0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4 186,0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96,5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15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4 186,0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4 186,0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96,5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54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D0000000">
      <w:pPr>
        <w:spacing w:line="264" w:lineRule="auto"/>
        <w:ind w:right="536"/>
        <w:rPr>
          <w:sz w:val="20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08"/>
        <w:gridCol w:w="1824"/>
        <w:gridCol w:w="1824"/>
        <w:gridCol w:w="1543"/>
        <w:gridCol w:w="1543"/>
        <w:gridCol w:w="2033"/>
      </w:tblGrid>
      <w:tr>
        <w:trPr>
          <w:trHeight w:hRule="atLeast" w:val="305"/>
        </w:trPr>
        <w:tc>
          <w:tcPr>
            <w:tcW w:type="dxa" w:w="54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Наименование структурного элемента </w:t>
            </w:r>
          </w:p>
        </w:tc>
        <w:tc>
          <w:tcPr>
            <w:tcW w:type="dxa" w:w="519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 тыс. рублей</w:t>
            </w:r>
          </w:p>
        </w:tc>
        <w:tc>
          <w:tcPr>
            <w:tcW w:type="dxa" w:w="15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(4)/(3)*100</w:t>
            </w:r>
          </w:p>
        </w:tc>
        <w:tc>
          <w:tcPr>
            <w:tcW w:type="dxa" w:w="20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463"/>
        </w:trPr>
        <w:tc>
          <w:tcPr>
            <w:tcW w:type="dxa" w:w="54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5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0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71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hRule="atLeast" w:val="598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Муниципальная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программа «</w:t>
            </w:r>
            <w:r>
              <w:rPr>
                <w:rStyle w:val="Style_1_ch"/>
                <w:sz w:val="16"/>
              </w:rPr>
              <w:t>Развитие сетей наружного освещения</w:t>
            </w:r>
            <w:r>
              <w:rPr>
                <w:sz w:val="16"/>
              </w:rPr>
              <w:t xml:space="preserve"> » (всего) за счет бюджетных ассигнований по источникам финансирования дефицита бюджета субъекта Российской Федерации, всего, в том числе: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4 186,0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96,5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23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Структурный элемент муниципальной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rStyle w:val="Style_1_ch"/>
                <w:sz w:val="16"/>
              </w:rPr>
              <w:t xml:space="preserve"> «</w:t>
            </w:r>
            <w:r>
              <w:rPr>
                <w:rStyle w:val="Style_1_ch"/>
                <w:sz w:val="16"/>
              </w:rPr>
              <w:t>Развитие сетей наружного освещения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4 186,0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96,5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tbl>
      <w:tblPr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375"/>
        <w:gridCol w:w="3117"/>
      </w:tblGrid>
      <w:tr>
        <w:trPr>
          <w:trHeight w:hRule="atLeast" w:val="989"/>
        </w:trPr>
        <w:tc>
          <w:tcPr>
            <w:tcW w:type="dxa" w:w="113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E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</w:t>
            </w:r>
          </w:p>
          <w:p w14:paraId="E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E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Глава Администрация </w:t>
            </w:r>
            <w:r>
              <w:rPr>
                <w:rFonts w:ascii="Times New Roman" w:hAnsi="Times New Roman"/>
                <w:sz w:val="20"/>
              </w:rPr>
              <w:t>Кагальницкого</w:t>
            </w:r>
            <w:r>
              <w:rPr>
                <w:rFonts w:ascii="Times New Roman" w:hAnsi="Times New Roman"/>
                <w:sz w:val="20"/>
              </w:rPr>
              <w:t xml:space="preserve"> с.п.</w:t>
            </w:r>
          </w:p>
          <w:p w14:paraId="E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F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14:paraId="F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Малерян</w:t>
            </w:r>
            <w:r>
              <w:rPr>
                <w:rFonts w:ascii="Times New Roman" w:hAnsi="Times New Roman"/>
                <w:sz w:val="20"/>
              </w:rPr>
              <w:t xml:space="preserve"> К.А.</w:t>
            </w:r>
          </w:p>
          <w:p w14:paraId="F2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</w:tr>
    </w:tbl>
    <w:p w14:paraId="F3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F4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 ХОДЕ РЕАЛИЗАЦИИ </w:t>
      </w:r>
    </w:p>
    <w:p w14:paraId="F5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КОМПЛЕКСА ПРОЦЕССНЫХ МЕРОПРИЯТИЙ</w:t>
      </w:r>
    </w:p>
    <w:p w14:paraId="F6000000">
      <w:pPr>
        <w:spacing w:after="200" w:line="276" w:lineRule="auto"/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 xml:space="preserve"> </w:t>
      </w:r>
      <w:r>
        <w:rPr>
          <w:rStyle w:val="Style_1_ch"/>
          <w:b w:val="1"/>
          <w:i w:val="1"/>
          <w:sz w:val="20"/>
        </w:rPr>
        <w:t>«</w:t>
      </w:r>
      <w:r>
        <w:rPr>
          <w:rFonts w:ascii="Times New Roman" w:hAnsi="Times New Roman"/>
          <w:b w:val="1"/>
          <w:i w:val="1"/>
          <w:sz w:val="22"/>
        </w:rPr>
        <w:t>Обеспечен</w:t>
      </w:r>
      <w:r>
        <w:rPr>
          <w:rStyle w:val="Style_1_ch"/>
          <w:rFonts w:ascii="Times New Roman" w:hAnsi="Times New Roman"/>
          <w:b w:val="1"/>
          <w:i w:val="1"/>
          <w:sz w:val="22"/>
        </w:rPr>
        <w:t xml:space="preserve"> </w:t>
      </w:r>
      <w:r>
        <w:rPr>
          <w:rStyle w:val="Style_1_ch"/>
          <w:rFonts w:ascii="Times New Roman" w:hAnsi="Times New Roman"/>
          <w:b w:val="1"/>
          <w:i w:val="1"/>
          <w:sz w:val="22"/>
        </w:rPr>
        <w:t>ремонт и обслуживание сетей наружного освеще</w:t>
      </w:r>
      <w:r>
        <w:rPr>
          <w:rStyle w:val="Style_1_ch"/>
          <w:rFonts w:ascii="Times New Roman" w:hAnsi="Times New Roman"/>
          <w:b w:val="1"/>
          <w:i w:val="1"/>
          <w:sz w:val="22"/>
        </w:rPr>
        <w:t xml:space="preserve">ния, </w:t>
      </w:r>
      <w:r>
        <w:rPr>
          <w:rStyle w:val="Style_1_ch"/>
          <w:rFonts w:ascii="Times New Roman" w:hAnsi="Times New Roman"/>
          <w:b w:val="1"/>
          <w:i w:val="1"/>
          <w:sz w:val="22"/>
        </w:rPr>
        <w:t>своевременная оплата уличной электроэнергии</w:t>
      </w:r>
      <w:r>
        <w:rPr>
          <w:rStyle w:val="Style_1_ch"/>
          <w:b w:val="1"/>
          <w:i w:val="1"/>
          <w:sz w:val="20"/>
        </w:rPr>
        <w:t>»</w:t>
      </w:r>
    </w:p>
    <w:p w14:paraId="F7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F8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1.Сведения о достижении показателей комплекса процессных мероприятий</w:t>
      </w:r>
    </w:p>
    <w:tbl>
      <w:tblPr>
        <w:tblInd w:type="dxa" w:w="-57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9"/>
        <w:gridCol w:w="1221"/>
        <w:gridCol w:w="2220"/>
        <w:gridCol w:w="709"/>
        <w:gridCol w:w="818"/>
        <w:gridCol w:w="693"/>
        <w:gridCol w:w="1110"/>
        <w:gridCol w:w="972"/>
        <w:gridCol w:w="1110"/>
        <w:gridCol w:w="1526"/>
        <w:gridCol w:w="971"/>
        <w:gridCol w:w="1149"/>
        <w:gridCol w:w="932"/>
        <w:gridCol w:w="1402"/>
      </w:tblGrid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</w:t>
            </w:r>
            <w:r>
              <w:rPr>
                <w:sz w:val="16"/>
              </w:rPr>
              <w:t>я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rPr>
          <w:trHeight w:hRule="atLeast" w:val="241"/>
        </w:trP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361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Задача комплекса процессных мероприя</w:t>
            </w:r>
            <w:r>
              <w:rPr>
                <w:rStyle w:val="Style_1_ch"/>
                <w:i w:val="1"/>
                <w:sz w:val="16"/>
              </w:rPr>
              <w:t>т</w:t>
            </w:r>
            <w:r>
              <w:rPr>
                <w:rStyle w:val="Style_1_ch"/>
                <w:i w:val="1"/>
                <w:sz w:val="16"/>
              </w:rPr>
              <w:t>и</w:t>
            </w:r>
            <w:r>
              <w:rPr>
                <w:rStyle w:val="Style_1_ch"/>
                <w:i w:val="1"/>
                <w:sz w:val="16"/>
              </w:rPr>
              <w:t>й «</w:t>
            </w:r>
            <w:r>
              <w:rPr>
                <w:rStyle w:val="Style_1_ch"/>
                <w:i w:val="1"/>
                <w:sz w:val="16"/>
              </w:rPr>
              <w:t>Обеспечен</w:t>
            </w:r>
            <w:r>
              <w:rPr>
                <w:rStyle w:val="Style_1_ch"/>
                <w:i w:val="1"/>
                <w:sz w:val="16"/>
              </w:rPr>
              <w:t xml:space="preserve"> </w:t>
            </w:r>
            <w:r>
              <w:rPr>
                <w:rStyle w:val="Style_1_ch"/>
                <w:i w:val="1"/>
                <w:sz w:val="16"/>
              </w:rPr>
              <w:t>ремонт и обслуживание сетей наружного освеще</w:t>
            </w:r>
            <w:r>
              <w:rPr>
                <w:rStyle w:val="Style_1_ch"/>
                <w:i w:val="1"/>
                <w:sz w:val="16"/>
              </w:rPr>
              <w:t xml:space="preserve">ния, </w:t>
            </w:r>
            <w:r>
              <w:rPr>
                <w:rStyle w:val="Style_1_ch"/>
                <w:i w:val="1"/>
                <w:sz w:val="16"/>
              </w:rPr>
              <w:t>своевременная оплата уличной электроэнергии</w:t>
            </w:r>
            <w:r>
              <w:rPr>
                <w:rStyle w:val="Style_1_ch"/>
                <w:i w:val="1"/>
                <w:sz w:val="16"/>
              </w:rPr>
              <w:t>в</w:t>
            </w:r>
            <w:r>
              <w:rPr>
                <w:rStyle w:val="Style_1_ch"/>
                <w:i w:val="1"/>
                <w:sz w:val="16"/>
              </w:rPr>
              <w:t>»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tabs>
                <w:tab w:leader="none" w:pos="2728" w:val="left"/>
              </w:tabs>
              <w:ind/>
              <w:jc w:val="left"/>
              <w:rPr>
                <w:rFonts w:ascii="Times New Roman" w:hAnsi="Times New Roman"/>
                <w:sz w:val="16"/>
              </w:rPr>
            </w:pPr>
            <w:r>
              <w:rPr>
                <w:rStyle w:val="Style_1_ch"/>
                <w:rFonts w:ascii="Times New Roman" w:hAnsi="Times New Roman"/>
                <w:sz w:val="16"/>
              </w:rPr>
              <w:t>Отсутствие просроченной кредиторской задолженности по оплате за электроэнергию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КПМ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ind/>
              <w:jc w:val="center"/>
            </w:pPr>
            <w:r>
              <w:rPr>
                <w:sz w:val="16"/>
              </w:rPr>
              <w:t>убывания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рублей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Акт сверки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1.2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  <w:p w14:paraId="2801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rStyle w:val="Style_1_ch"/>
                <w:rFonts w:ascii="Times New Roman" w:hAnsi="Times New Roman"/>
                <w:sz w:val="16"/>
              </w:rPr>
              <w:t xml:space="preserve">Доля трансформаторов, находящихся в реестре  муниципального </w:t>
            </w:r>
            <w:r>
              <w:rPr>
                <w:rStyle w:val="Style_1_ch"/>
                <w:rFonts w:ascii="Times New Roman" w:hAnsi="Times New Roman"/>
                <w:sz w:val="16"/>
              </w:rPr>
              <w:t>имущества</w:t>
            </w:r>
            <w:r>
              <w:rPr>
                <w:rStyle w:val="Style_1_ch"/>
                <w:rFonts w:ascii="Times New Roman" w:hAnsi="Times New Roman"/>
                <w:sz w:val="16"/>
              </w:rPr>
              <w:t>, на которые заключен договор по ремонту и обслуживанию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КПМ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  <w:p w14:paraId="3001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Договор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 балансе администрации отсутствуют трансформаторы</w:t>
            </w:r>
          </w:p>
        </w:tc>
      </w:tr>
    </w:tbl>
    <w:p w14:paraId="36010000">
      <w:pPr>
        <w:rPr>
          <w:sz w:val="20"/>
        </w:rPr>
      </w:pPr>
    </w:p>
    <w:p w14:paraId="37010000">
      <w:pPr>
        <w:ind/>
        <w:jc w:val="center"/>
        <w:rPr>
          <w:sz w:val="20"/>
        </w:rPr>
      </w:pPr>
      <w:r>
        <w:rPr>
          <w:sz w:val="20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14:paraId="38010000">
      <w:pPr>
        <w:ind/>
        <w:jc w:val="center"/>
        <w:rPr>
          <w:sz w:val="20"/>
        </w:rPr>
      </w:pPr>
    </w:p>
    <w:tbl>
      <w:tblPr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3"/>
        <w:gridCol w:w="1338"/>
        <w:gridCol w:w="761"/>
        <w:gridCol w:w="1014"/>
        <w:gridCol w:w="823"/>
        <w:gridCol w:w="962"/>
        <w:gridCol w:w="1100"/>
        <w:gridCol w:w="1100"/>
        <w:gridCol w:w="962"/>
        <w:gridCol w:w="1100"/>
        <w:gridCol w:w="963"/>
        <w:gridCol w:w="1100"/>
        <w:gridCol w:w="1236"/>
        <w:gridCol w:w="1237"/>
        <w:gridCol w:w="825"/>
      </w:tblGrid>
      <w:tr>
        <w:trPr>
          <w:trHeight w:hRule="atLeast" w:val="986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(по ОКЕИ)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соответствия</w:t>
            </w:r>
          </w:p>
          <w:p w14:paraId="3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Декомпозированного мероприятия</w:t>
            </w:r>
          </w:p>
          <w:p w14:paraId="3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(результата)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Базовое значение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181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>
        <w:trPr>
          <w:trHeight w:hRule="atLeast" w:val="170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520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 Задача комплекса процессных мероприятий "</w:t>
            </w:r>
            <w:r>
              <w:rPr>
                <w:rStyle w:val="Style_1_ch"/>
                <w:i w:val="1"/>
                <w:sz w:val="16"/>
              </w:rPr>
              <w:t>Обеспечена оплата ежемесячного взноса на капитальный ремонт многоквартирных домов</w:t>
            </w:r>
            <w:r>
              <w:rPr>
                <w:i w:val="1"/>
                <w:sz w:val="16"/>
              </w:rPr>
              <w:t>"</w:t>
            </w:r>
          </w:p>
        </w:tc>
      </w:tr>
      <w:tr>
        <w:trPr>
          <w:trHeight w:hRule="atLeast" w:val="363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Мероприятие (результат) "</w:t>
            </w:r>
            <w:r>
              <w:rPr>
                <w:rFonts w:ascii="Times New Roman" w:hAnsi="Times New Roman"/>
                <w:sz w:val="16"/>
              </w:rPr>
              <w:t>Заключение договора на поставку электроэнергии</w:t>
            </w:r>
            <w:r>
              <w:rPr>
                <w:i w:val="1"/>
                <w:sz w:val="16"/>
              </w:rPr>
              <w:t>"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Куцкевич</w:t>
            </w:r>
            <w:r>
              <w:rPr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Контрольная </w:t>
            </w:r>
            <w:r>
              <w:rPr>
                <w:i w:val="1"/>
                <w:sz w:val="16"/>
              </w:rPr>
              <w:t xml:space="preserve">точка. </w:t>
            </w:r>
            <w:r>
              <w:rPr>
                <w:rFonts w:ascii="Times New Roman" w:hAnsi="Times New Roman"/>
                <w:sz w:val="16"/>
              </w:rPr>
              <w:t>Ежемесячная своевременная оплата авансовых счетов и актов приема-передачи электроэнергии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27.01.2026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Куцкевич</w:t>
            </w:r>
            <w:r>
              <w:rPr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Платежное поручение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7901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7A010000">
      <w:pPr>
        <w:spacing w:after="160" w:line="264" w:lineRule="auto"/>
        <w:ind w:firstLine="0" w:left="360" w:right="536"/>
        <w:jc w:val="right"/>
        <w:rPr>
          <w:sz w:val="20"/>
        </w:rPr>
      </w:pPr>
      <w:r>
        <w:rPr>
          <w:sz w:val="20"/>
        </w:rPr>
        <w:t xml:space="preserve">3.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14:paraId="7B010000">
      <w:pPr>
        <w:widowControl w:val="0"/>
        <w:spacing w:after="120"/>
        <w:ind/>
        <w:jc w:val="right"/>
        <w:rPr>
          <w:sz w:val="16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114"/>
        <w:gridCol w:w="1365"/>
        <w:gridCol w:w="1134"/>
        <w:gridCol w:w="1134"/>
        <w:gridCol w:w="1276"/>
        <w:gridCol w:w="1047"/>
        <w:gridCol w:w="1068"/>
        <w:gridCol w:w="1276"/>
      </w:tblGrid>
      <w:tr>
        <w:trPr>
          <w:trHeight w:hRule="atLeast" w:val="411"/>
        </w:trPr>
        <w:tc>
          <w:tcPr>
            <w:tcW w:type="dxa" w:w="61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type="dxa" w:w="363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23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10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(6)/(3)*100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603"/>
        </w:trPr>
        <w:tc>
          <w:tcPr>
            <w:tcW w:type="dxa" w:w="61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0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18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rPr>
                <w:sz w:val="16"/>
              </w:rPr>
            </w:pPr>
            <w:r>
              <w:rPr>
                <w:sz w:val="16"/>
              </w:rPr>
              <w:t>Комплекс процессных мероп</w:t>
            </w:r>
            <w:r>
              <w:rPr>
                <w:rStyle w:val="Style_1_ch"/>
                <w:sz w:val="16"/>
              </w:rPr>
              <w:t>рия</w:t>
            </w:r>
            <w:r>
              <w:rPr>
                <w:rStyle w:val="Style_1_ch"/>
                <w:sz w:val="16"/>
              </w:rPr>
              <w:t>тий "</w:t>
            </w:r>
            <w:r>
              <w:rPr>
                <w:rStyle w:val="Style_1_ch"/>
                <w:rFonts w:ascii="Times New Roman" w:hAnsi="Times New Roman"/>
                <w:sz w:val="16"/>
              </w:rPr>
              <w:t>Развитие сетей наружного освещения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Style w:val="Style_1_ch"/>
                <w:sz w:val="16"/>
              </w:rPr>
              <w:t>" (в</w:t>
            </w:r>
            <w:r>
              <w:rPr>
                <w:rStyle w:val="Style_1_ch"/>
                <w:sz w:val="16"/>
              </w:rPr>
              <w:t>сего),</w:t>
            </w:r>
            <w:r>
              <w:rPr>
                <w:sz w:val="16"/>
              </w:rPr>
              <w:t xml:space="preserve"> в том числе: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4 186,0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4 186,0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96,5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4 186,0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4 186,0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96,5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rPr>
                <w:sz w:val="16"/>
              </w:rPr>
            </w:pPr>
            <w:r>
              <w:rPr>
                <w:sz w:val="16"/>
              </w:rPr>
              <w:t xml:space="preserve">Мероприятие (результат) </w:t>
            </w:r>
            <w:r>
              <w:rPr>
                <w:rStyle w:val="Style_1_ch"/>
                <w:sz w:val="16"/>
              </w:rPr>
              <w:t>1. «</w:t>
            </w:r>
            <w:r>
              <w:rPr>
                <w:rFonts w:ascii="Times New Roman" w:hAnsi="Times New Roman"/>
                <w:sz w:val="16"/>
              </w:rPr>
              <w:t>Заключение договора на поставку электроэнергии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4 186,0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4 186,0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96,5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97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4 340,0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4 186,0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4 186,0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96,5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123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09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DE010000"/>
    <w:p w14:paraId="DF010000"/>
    <w:p w14:paraId="E0010000"/>
    <w:p w14:paraId="E1010000"/>
    <w:p w14:paraId="E2010000"/>
    <w:p w14:paraId="E3010000"/>
    <w:p w14:paraId="E401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2026-05-04T07:42:32Z</dcterms:modified>
</cp:coreProperties>
</file>