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4000000">
      <w:pPr>
        <w:pStyle w:val="Style_2"/>
        <w:ind/>
        <w:jc w:val="right"/>
        <w:rPr>
          <w:rFonts w:ascii="Times New Roman" w:hAnsi="Times New Roman"/>
          <w:b w:val="1"/>
          <w:sz w:val="28"/>
        </w:rPr>
      </w:pP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РОСТОВСКАЯ ОБЛАСТЬ АЗОВСКИЙ РАЙО</w:t>
      </w:r>
      <w:r>
        <w:rPr>
          <w:rStyle w:val="Style_2_ch"/>
          <w:rFonts w:ascii="Times New Roman" w:hAnsi="Times New Roman"/>
          <w:b w:val="1"/>
          <w:sz w:val="28"/>
        </w:rPr>
        <w:t>Н</w:t>
      </w:r>
    </w:p>
    <w:p w14:paraId="07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8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КАГАЛЬНИЦКОГО СЕЛЬСКОГО ПОСЕЛЕНИЯ</w:t>
      </w:r>
    </w:p>
    <w:p w14:paraId="09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</w:t>
      </w:r>
    </w:p>
    <w:p w14:paraId="0A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B000000">
      <w:pPr>
        <w:pStyle w:val="Style_2"/>
        <w:rPr>
          <w:rFonts w:ascii="Times New Roman" w:hAnsi="Times New Roman"/>
          <w:b w:val="1"/>
          <w:sz w:val="28"/>
        </w:rPr>
      </w:pPr>
    </w:p>
    <w:p w14:paraId="0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февраля 2026 г.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№__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 с. Кагальник</w:t>
      </w:r>
    </w:p>
    <w:p w14:paraId="0D000000">
      <w:pPr>
        <w:pStyle w:val="Style_2"/>
        <w:rPr>
          <w:rFonts w:ascii="Times New Roman" w:hAnsi="Times New Roman"/>
          <w:sz w:val="28"/>
        </w:rPr>
      </w:pPr>
    </w:p>
    <w:p w14:paraId="0E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</w:t>
      </w:r>
    </w:p>
    <w:p w14:paraId="0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Кагальницкого сельского </w:t>
      </w:r>
    </w:p>
    <w:p w14:paraId="1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25.10.2018 г.</w:t>
      </w:r>
      <w:r>
        <w:rPr>
          <w:rFonts w:ascii="Times New Roman" w:hAnsi="Times New Roman"/>
          <w:sz w:val="28"/>
        </w:rPr>
        <w:t xml:space="preserve"> №144</w:t>
      </w:r>
    </w:p>
    <w:p w14:paraId="1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муниципальной программы</w:t>
      </w:r>
    </w:p>
    <w:p w14:paraId="12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«Развитие сетей наружного освещения» </w:t>
      </w:r>
    </w:p>
    <w:p w14:paraId="13000000">
      <w:pPr>
        <w:pStyle w:val="Style_2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</w:t>
      </w:r>
      <w:r>
        <w:rPr>
          <w:rFonts w:ascii="Times New Roman" w:hAnsi="Times New Roman"/>
          <w:sz w:val="28"/>
        </w:rPr>
        <w:t xml:space="preserve">Решением Собрания депутатов Кагальницкого сельского поселения от 25.12.2025г. №120 </w:t>
      </w:r>
      <w:r>
        <w:rPr>
          <w:rFonts w:ascii="Times New Roman" w:hAnsi="Times New Roman"/>
          <w:sz w:val="28"/>
        </w:rPr>
        <w:t xml:space="preserve">«О бюджете Кагальницкого сельского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 xml:space="preserve">Азовского района на 2026 год и </w:t>
      </w:r>
      <w:r>
        <w:rPr>
          <w:rFonts w:ascii="Times New Roman" w:hAnsi="Times New Roman"/>
          <w:sz w:val="28"/>
        </w:rPr>
        <w:t>плановый период 2027 – 2028 годов»</w:t>
      </w:r>
      <w:r>
        <w:rPr>
          <w:rFonts w:ascii="Times New Roman" w:hAnsi="Times New Roman"/>
          <w:sz w:val="28"/>
        </w:rPr>
        <w:t>, Администрация Кагальницкого сельского поселения</w:t>
      </w:r>
    </w:p>
    <w:p w14:paraId="15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7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изменения в</w:t>
      </w:r>
      <w:r>
        <w:rPr>
          <w:rFonts w:ascii="Times New Roman" w:hAnsi="Times New Roman"/>
          <w:sz w:val="28"/>
        </w:rPr>
        <w:t xml:space="preserve"> муниципальную программу «</w:t>
      </w:r>
      <w:r>
        <w:rPr>
          <w:rFonts w:ascii="Times New Roman" w:hAnsi="Times New Roman"/>
          <w:sz w:val="28"/>
        </w:rPr>
        <w:t>Развитие сетей наружного освещения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согласно приложению №1.</w:t>
      </w:r>
    </w:p>
    <w:p w14:paraId="1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 </w:t>
      </w:r>
      <w:r>
        <w:rPr>
          <w:rFonts w:ascii="Times New Roman" w:hAnsi="Times New Roman"/>
          <w:sz w:val="28"/>
        </w:rPr>
        <w:t xml:space="preserve"> Настоящее постановление вступает в силу со дня его официального опубликования и действует на правоотношения, возникшие с 01 января 2026 года, </w:t>
      </w:r>
      <w:r>
        <w:rPr>
          <w:rFonts w:ascii="Times New Roman" w:hAnsi="Times New Roman"/>
          <w:sz w:val="28"/>
        </w:rPr>
        <w:t>подлежит размещению на официальном сайте Администрации Кагальницкого сельского поселения</w:t>
      </w:r>
      <w:r>
        <w:rPr>
          <w:rFonts w:ascii="Times New Roman" w:hAnsi="Times New Roman"/>
          <w:sz w:val="28"/>
        </w:rPr>
        <w:t>.</w:t>
      </w:r>
    </w:p>
    <w:p w14:paraId="1A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 Контроль за исполнением постановления оставляю за собой.</w:t>
      </w:r>
    </w:p>
    <w:p w14:paraId="1B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425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F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Кагальницкого сельского поселения                             </w:t>
      </w:r>
      <w:r>
        <w:rPr>
          <w:rFonts w:ascii="Times New Roman" w:hAnsi="Times New Roman"/>
          <w:sz w:val="28"/>
        </w:rPr>
        <w:t xml:space="preserve">          Малерян К.А.</w:t>
      </w:r>
    </w:p>
    <w:p w14:paraId="20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 сектор экономики и финансов</w:t>
      </w:r>
    </w:p>
    <w:p w14:paraId="23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 1</w:t>
      </w:r>
    </w:p>
    <w:p w14:paraId="26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 постановлению Администрации</w:t>
      </w:r>
    </w:p>
    <w:p w14:paraId="27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Кагальницкого сельского поселения</w:t>
      </w:r>
    </w:p>
    <w:p w14:paraId="28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9000000">
      <w:pPr>
        <w:numPr>
          <w:numId w:val="1"/>
        </w:num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изложить в следующей редакции:</w:t>
      </w:r>
    </w:p>
    <w:p w14:paraId="2A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</w:t>
      </w:r>
    </w:p>
    <w:p w14:paraId="2C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2D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Развитие сетей наружного освещения</w:t>
      </w:r>
      <w:r>
        <w:rPr>
          <w:rFonts w:ascii="Times New Roman" w:hAnsi="Times New Roman"/>
          <w:sz w:val="28"/>
        </w:rPr>
        <w:t>»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76"/>
        <w:gridCol w:w="400"/>
        <w:gridCol w:w="5938"/>
      </w:tblGrid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1.1.Куратор муниципальной программы</w:t>
            </w:r>
          </w:p>
          <w:p w14:paraId="30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Малерян Камо Артаваздович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Фридриков Вячеслав Александрович – заместитель главы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7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9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    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B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2019-2024 годы;</w:t>
            </w:r>
          </w:p>
          <w:p w14:paraId="3C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2025-2030 годы;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1.4.Цели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r>
              <w:rPr>
                <w:rStyle w:val="Style_4_ch"/>
                <w:rFonts w:ascii="Times New Roman" w:hAnsi="Times New Roman"/>
                <w:sz w:val="28"/>
              </w:rPr>
              <w:t>создание безопасных и благоприятных условий проживания граждан и повышение уровня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освещенности улиц необходимого для комфортного проживания и отдыха жителей села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2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4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составляет 33 161,3 тыс. рублей, в том числе:</w:t>
            </w:r>
          </w:p>
          <w:p w14:paraId="46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2019 года по 2024 год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18 173,5</w:t>
            </w:r>
            <w:r>
              <w:rPr>
                <w:rFonts w:ascii="Times New Roman" w:hAnsi="Times New Roman"/>
                <w:sz w:val="28"/>
              </w:rPr>
              <w:t xml:space="preserve"> ты</w:t>
            </w:r>
            <w:r>
              <w:rPr>
                <w:rFonts w:ascii="Times New Roman" w:hAnsi="Times New Roman"/>
                <w:sz w:val="28"/>
              </w:rPr>
              <w:t>с. рублей;</w:t>
            </w:r>
          </w:p>
          <w:p w14:paraId="47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4 340,0 </w:t>
            </w:r>
            <w:r>
              <w:rPr>
                <w:rFonts w:ascii="Times New Roman" w:hAnsi="Times New Roman"/>
                <w:sz w:val="28"/>
              </w:rPr>
              <w:t>тыс. р</w:t>
            </w:r>
            <w:r>
              <w:rPr>
                <w:rFonts w:ascii="Times New Roman" w:hAnsi="Times New Roman"/>
                <w:sz w:val="28"/>
              </w:rPr>
              <w:t>ублей;</w:t>
            </w:r>
          </w:p>
          <w:p w14:paraId="48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3 610,1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9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3 214,6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A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2028 год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3 823,1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1.6.Связь с </w:t>
            </w:r>
            <w:r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</w:tbl>
    <w:p w14:paraId="4E000000">
      <w:pPr>
        <w:sectPr>
          <w:footerReference r:id="rId2" w:type="default"/>
          <w:pgSz w:h="16838" w:orient="portrait" w:w="11906"/>
          <w:pgMar w:bottom="722" w:footer="720" w:gutter="0" w:header="720" w:left="1701" w:right="991" w:top="709"/>
        </w:sectPr>
      </w:pPr>
    </w:p>
    <w:p w14:paraId="4F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 паспорта муниципальной программы изложить в следующей редакции:</w:t>
      </w:r>
    </w:p>
    <w:p w14:paraId="50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51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Финансовое обеспечение муниципальной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5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6"/>
        <w:gridCol w:w="8801"/>
        <w:gridCol w:w="1202"/>
        <w:gridCol w:w="1202"/>
        <w:gridCol w:w="1202"/>
        <w:gridCol w:w="1202"/>
      </w:tblGrid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5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8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8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</w:p>
        </w:tc>
      </w:tr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</w:t>
            </w:r>
            <w:r>
              <w:rPr>
                <w:rFonts w:ascii="Times New Roman" w:hAnsi="Times New Roman"/>
                <w:sz w:val="22"/>
              </w:rPr>
              <w:t xml:space="preserve">я </w:t>
            </w: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rStyle w:val="Style_4_ch"/>
                <w:rFonts w:ascii="Times New Roman" w:hAnsi="Times New Roman"/>
                <w:sz w:val="22"/>
              </w:rPr>
              <w:t>Развитие сетей наружного освещения</w:t>
            </w:r>
            <w:r>
              <w:rPr>
                <w:rFonts w:ascii="Times New Roman" w:hAnsi="Times New Roman"/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3 610,1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3 214,6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3 823,1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10 647,8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3 610,1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3 214,6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3 823,1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10 647,8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</w:t>
            </w:r>
            <w:r>
              <w:rPr>
                <w:rFonts w:ascii="Times New Roman" w:hAnsi="Times New Roman"/>
                <w:sz w:val="22"/>
              </w:rPr>
              <w:t>ий "</w:t>
            </w:r>
            <w:r>
              <w:rPr>
                <w:rStyle w:val="Style_4_ch"/>
                <w:rFonts w:ascii="Times New Roman" w:hAnsi="Times New Roman"/>
                <w:sz w:val="22"/>
              </w:rPr>
              <w:t>Развитие сетей наружного освещения</w:t>
            </w:r>
            <w:r>
              <w:rPr>
                <w:rFonts w:ascii="Times New Roman" w:hAnsi="Times New Roman"/>
                <w:sz w:val="22"/>
              </w:rPr>
              <w:t xml:space="preserve">" 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3 610,1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3 214,6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3 823,1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10 647,8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3 610,1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3 214,6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3 823,1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10 647,8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9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B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9C000000">
      <w:pPr>
        <w:numPr>
          <w:numId w:val="3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4 паспорта комплекса процессных мероприятий</w:t>
      </w:r>
      <w:r>
        <w:rPr>
          <w:rStyle w:val="Style_4_ch"/>
          <w:rFonts w:ascii="Times New Roman" w:hAnsi="Times New Roman"/>
          <w:sz w:val="28"/>
        </w:rPr>
        <w:t xml:space="preserve"> «</w:t>
      </w:r>
      <w:r>
        <w:rPr>
          <w:rStyle w:val="Style_4_ch"/>
          <w:rFonts w:ascii="Times New Roman" w:hAnsi="Times New Roman"/>
          <w:sz w:val="28"/>
        </w:rPr>
        <w:t>Развитие сетей наружного освещения</w:t>
      </w:r>
      <w:r>
        <w:rPr>
          <w:rStyle w:val="Style_4_ch"/>
          <w:rFonts w:ascii="Times New Roman" w:hAnsi="Times New Roman"/>
          <w:sz w:val="28"/>
        </w:rPr>
        <w:t>» изло</w:t>
      </w:r>
      <w:r>
        <w:rPr>
          <w:rFonts w:ascii="Times New Roman" w:hAnsi="Times New Roman"/>
          <w:sz w:val="28"/>
        </w:rPr>
        <w:t>жить в следующей редакции:</w:t>
      </w:r>
    </w:p>
    <w:p w14:paraId="9D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Параметры финансового обеспечения комплекса процессных мероприятий</w:t>
      </w:r>
    </w:p>
    <w:p w14:paraId="9E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7"/>
        <w:gridCol w:w="6606"/>
        <w:gridCol w:w="2559"/>
        <w:gridCol w:w="1066"/>
        <w:gridCol w:w="1066"/>
        <w:gridCol w:w="1012"/>
        <w:gridCol w:w="1259"/>
      </w:tblGrid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A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6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Код бюджетной классификации расходов</w:t>
            </w:r>
          </w:p>
        </w:tc>
        <w:tc>
          <w:tcPr>
            <w:tcW w:type="dxa" w:w="44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</w:tr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"</w:t>
            </w:r>
            <w:r>
              <w:rPr>
                <w:rStyle w:val="Style_4_ch"/>
                <w:rFonts w:ascii="Times New Roman" w:hAnsi="Times New Roman"/>
                <w:sz w:val="22"/>
              </w:rPr>
              <w:t>Развитие сетей наружного освещения</w:t>
            </w:r>
            <w:r>
              <w:rPr>
                <w:rFonts w:ascii="Times New Roman" w:hAnsi="Times New Roman"/>
                <w:sz w:val="22"/>
              </w:rPr>
              <w:t>" (всего), в том числе: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3 610,1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3 214,6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3 823,1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10 647,8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3 610,1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3 214,6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3 823,1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10 647,8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 (результат) 1. </w:t>
            </w:r>
            <w:r>
              <w:rPr>
                <w:rFonts w:ascii="Times New Roman" w:hAnsi="Times New Roman"/>
                <w:sz w:val="22"/>
              </w:rPr>
              <w:t>"</w:t>
            </w:r>
            <w:r>
              <w:rPr>
                <w:rFonts w:ascii="Times New Roman" w:hAnsi="Times New Roman"/>
                <w:sz w:val="22"/>
              </w:rPr>
              <w:t>Заключение договора на поставку электроэнергии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3 610,1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3 214,6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3 823,1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10 647,8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951 0503 0640128610 240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3 610,1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3 214,6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3 823,1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10 647,8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E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E7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E8000000">
      <w:pPr>
        <w:widowControl w:val="0"/>
        <w:ind/>
        <w:jc w:val="center"/>
        <w:outlineLvl w:val="1"/>
        <w:rPr>
          <w:sz w:val="28"/>
        </w:rPr>
      </w:pPr>
    </w:p>
    <w:sectPr>
      <w:footerReference r:id="rId1" w:type="default"/>
      <w:type w:val="nextPage"/>
      <w:pgSz w:h="11908" w:orient="landscape" w:w="16848"/>
      <w:pgMar w:bottom="720" w:footer="720" w:gutter="0" w:header="720" w:left="1701" w:right="992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160" w:line="264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header"/>
    <w:basedOn w:val="Style_4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4_ch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Balloon Text"/>
    <w:basedOn w:val="Style_4"/>
    <w:link w:val="Style_14_ch"/>
    <w:pPr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heading 1"/>
    <w:basedOn w:val="Style_4"/>
    <w:next w:val="Style_4"/>
    <w:link w:val="Style_15_ch"/>
    <w:uiPriority w:val="9"/>
    <w:qFormat/>
    <w:pPr>
      <w:keepNext w:val="1"/>
      <w:spacing w:after="0" w:line="240" w:lineRule="auto"/>
      <w:ind/>
      <w:jc w:val="center"/>
      <w:outlineLvl w:val="0"/>
    </w:pPr>
    <w:rPr>
      <w:rFonts w:ascii="Times New Roman" w:hAnsi="Times New Roman"/>
      <w:sz w:val="44"/>
    </w:rPr>
  </w:style>
  <w:style w:styleId="Style_15_ch" w:type="character">
    <w:name w:val="heading 1"/>
    <w:basedOn w:val="Style_4_ch"/>
    <w:link w:val="Style_15"/>
    <w:rPr>
      <w:rFonts w:ascii="Times New Roman" w:hAnsi="Times New Roman"/>
      <w:sz w:val="4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ConsPlusCell"/>
    <w:link w:val="Style_20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20_ch" w:type="character">
    <w:name w:val="ConsPlusCell"/>
    <w:link w:val="Style_20"/>
    <w:rPr>
      <w:rFonts w:ascii="Times New Roman" w:hAnsi="Times New Roman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Normal (Web)"/>
    <w:basedOn w:val="Style_4"/>
    <w:link w:val="Style_2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4_ch"/>
    <w:link w:val="Style_23"/>
    <w:rPr>
      <w:rFonts w:ascii="Times New Roman" w:hAnsi="Times New Roman"/>
      <w:sz w:val="24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2026-02-25T12:31:54Z</dcterms:modified>
</cp:coreProperties>
</file>