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Кагальницкого сельского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Птицин В.Л.</w:t>
      </w: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B7167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6D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10077,2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6D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1764,0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D5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8395,5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 w:rsidR="0093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1764,0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FE238C">
        <w:rPr>
          <w:rFonts w:ascii="Times New Roman" w:eastAsia="Times New Roman" w:hAnsi="Times New Roman" w:cs="Times New Roman"/>
          <w:sz w:val="28"/>
          <w:szCs w:val="28"/>
          <w:lang w:eastAsia="ru-RU"/>
        </w:rPr>
        <w:t>10077,2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FE238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21C98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2014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             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6ACC" w:rsidRDefault="004A6ACC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A915A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D12F10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21C98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31511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10077,2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8395,5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5874AC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10077,2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6B17E4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6B17E4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B17E4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8395,5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874AC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B17E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45BFD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5874AC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C39B4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5874AC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2B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EC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B274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B274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B274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B274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B274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3E5B4E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2B274D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3E5B4E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B274D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4D" w:rsidRPr="008B0307" w:rsidRDefault="002B274D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74D" w:rsidRPr="008B0307" w:rsidRDefault="002B274D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4D" w:rsidRPr="008B0307" w:rsidRDefault="0018444A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B274D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74D" w:rsidRPr="008B0307" w:rsidRDefault="002B274D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2B274D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74D" w:rsidRPr="003E5B4E" w:rsidRDefault="0018444A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3E5B4E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3E5B4E" w:rsidRDefault="0018444A" w:rsidP="002B274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3E5B4E" w:rsidRDefault="0018444A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4D" w:rsidRPr="00E44D89" w:rsidRDefault="002B274D" w:rsidP="0018444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18444A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C77EE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EF33C4" w:rsidRPr="008B0307" w:rsidTr="00392A38">
        <w:trPr>
          <w:trHeight w:val="7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EF33C4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33C4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6466,9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3C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4C5A81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A81" w:rsidRPr="00A25810" w:rsidRDefault="004C5A81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A81" w:rsidRPr="00FF32C4" w:rsidRDefault="004C5A81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4C5A81" w:rsidRPr="008B0307" w:rsidRDefault="004C5A81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5A81" w:rsidRPr="008B0307" w:rsidRDefault="004C5A81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A81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DF50E2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0E2" w:rsidRPr="008B0307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DF50E2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0E2" w:rsidRPr="008B0307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DF50E2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50E2" w:rsidRPr="008B0307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DF50E2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50E2" w:rsidRPr="008B0307" w:rsidRDefault="00DF50E2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</w:t>
            </w:r>
            <w:r w:rsidR="004C5A81">
              <w:rPr>
                <w:rFonts w:ascii="Times New Roman" w:eastAsia="Arial" w:hAnsi="Times New Roman" w:cs="Times New Roman"/>
                <w:kern w:val="1"/>
                <w:lang w:eastAsia="zh-CN"/>
              </w:rPr>
              <w:t>0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DF50E2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50E2" w:rsidRPr="008B0307" w:rsidRDefault="004C5A81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DF50E2" w:rsidRPr="008B0307" w:rsidTr="00185D19">
        <w:trPr>
          <w:trHeight w:val="708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Pr="00FF32C4" w:rsidRDefault="00DF50E2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E2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дорожного движения на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943764" w:rsidRDefault="002A4468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lastRenderedPageBreak/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3B3434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B3434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E45F9F" w:rsidRDefault="00E84CF5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3B3434" w:rsidRDefault="00DF50E2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541D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563C18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A541D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  <w:r w:rsidR="00A541DC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DF50E2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E11588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11588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1764,0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9742E5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9260,8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«Повышение безопасности дорожного движения на территории сельского 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C61B64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  <w:r w:rsidR="005F543C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E11588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 – количество лиц, погибших в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7B5C5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7B5C5C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68F" w:rsidRDefault="00F8568F" w:rsidP="00C957EF">
      <w:pPr>
        <w:spacing w:after="0" w:line="240" w:lineRule="auto"/>
      </w:pPr>
      <w:r>
        <w:separator/>
      </w:r>
    </w:p>
  </w:endnote>
  <w:endnote w:type="continuationSeparator" w:id="0">
    <w:p w:rsidR="00F8568F" w:rsidRDefault="00F8568F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68F" w:rsidRDefault="00F8568F" w:rsidP="00C957EF">
      <w:pPr>
        <w:spacing w:after="0" w:line="240" w:lineRule="auto"/>
      </w:pPr>
      <w:r>
        <w:separator/>
      </w:r>
    </w:p>
  </w:footnote>
  <w:footnote w:type="continuationSeparator" w:id="0">
    <w:p w:rsidR="00F8568F" w:rsidRDefault="00F8568F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21C98"/>
    <w:rsid w:val="00034E64"/>
    <w:rsid w:val="0006199F"/>
    <w:rsid w:val="0006412C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767E"/>
    <w:rsid w:val="002E5645"/>
    <w:rsid w:val="002F70FD"/>
    <w:rsid w:val="003167EE"/>
    <w:rsid w:val="00326007"/>
    <w:rsid w:val="00331511"/>
    <w:rsid w:val="00343E36"/>
    <w:rsid w:val="003A29AC"/>
    <w:rsid w:val="003B3434"/>
    <w:rsid w:val="003E4990"/>
    <w:rsid w:val="003E5B4E"/>
    <w:rsid w:val="004035B6"/>
    <w:rsid w:val="00407B95"/>
    <w:rsid w:val="00417F4F"/>
    <w:rsid w:val="00453F88"/>
    <w:rsid w:val="004A1711"/>
    <w:rsid w:val="004A6ACC"/>
    <w:rsid w:val="004C5A81"/>
    <w:rsid w:val="004D2272"/>
    <w:rsid w:val="004D636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66D5"/>
    <w:rsid w:val="006649D1"/>
    <w:rsid w:val="00684761"/>
    <w:rsid w:val="006878BE"/>
    <w:rsid w:val="0069031F"/>
    <w:rsid w:val="00696D04"/>
    <w:rsid w:val="006B17E4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6076B"/>
    <w:rsid w:val="00792C72"/>
    <w:rsid w:val="007A1BB4"/>
    <w:rsid w:val="007A1DE3"/>
    <w:rsid w:val="007A4DEC"/>
    <w:rsid w:val="007B5C5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3233E"/>
    <w:rsid w:val="00943764"/>
    <w:rsid w:val="00946EEC"/>
    <w:rsid w:val="00950974"/>
    <w:rsid w:val="00955885"/>
    <w:rsid w:val="00960EE7"/>
    <w:rsid w:val="009735F5"/>
    <w:rsid w:val="009742E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C2379"/>
    <w:rsid w:val="00EC39B4"/>
    <w:rsid w:val="00EC7084"/>
    <w:rsid w:val="00EF33C4"/>
    <w:rsid w:val="00EF5ECD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8568F"/>
    <w:rsid w:val="00F90598"/>
    <w:rsid w:val="00FA077E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5D54-EB1D-4822-912E-D0FC0849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33</Pages>
  <Words>8651</Words>
  <Characters>49315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17</cp:revision>
  <cp:lastPrinted>2016-04-06T13:44:00Z</cp:lastPrinted>
  <dcterms:created xsi:type="dcterms:W3CDTF">2016-02-21T08:09:00Z</dcterms:created>
  <dcterms:modified xsi:type="dcterms:W3CDTF">2016-04-06T13:47:00Z</dcterms:modified>
</cp:coreProperties>
</file>