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256C">
        <w:rPr>
          <w:rFonts w:ascii="Times New Roman" w:hAnsi="Times New Roman" w:cs="Times New Roman"/>
          <w:sz w:val="28"/>
          <w:szCs w:val="28"/>
        </w:rPr>
        <w:t>Проект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25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№129/1 от 23.09.2013 г.,</w:t>
      </w:r>
      <w:r w:rsidR="00280ABF">
        <w:rPr>
          <w:rFonts w:ascii="Times New Roman" w:hAnsi="Times New Roman" w:cs="Times New Roman"/>
          <w:sz w:val="28"/>
          <w:szCs w:val="28"/>
        </w:rPr>
        <w:t xml:space="preserve"> № 119 от 01.10.2014 г., № 82 от 20.05.2015г.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8C3042" w:rsidP="00F3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F321F4">
        <w:rPr>
          <w:rFonts w:ascii="Times New Roman" w:hAnsi="Times New Roman" w:cs="Times New Roman"/>
          <w:sz w:val="28"/>
          <w:szCs w:val="28"/>
        </w:rPr>
        <w:t xml:space="preserve"> Кагальницкого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О.Е.Ягодка</w:t>
      </w:r>
    </w:p>
    <w:p w:rsidR="00F321F4" w:rsidRPr="00FC0F30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9B256C" w:rsidRPr="009B256C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041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041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418B">
        <w:rPr>
          <w:rFonts w:ascii="Times New Roman" w:hAnsi="Times New Roman" w:cs="Times New Roman"/>
          <w:sz w:val="28"/>
          <w:szCs w:val="28"/>
        </w:rPr>
        <w:t>____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280ABF">
        <w:rPr>
          <w:rFonts w:ascii="Times New Roman" w:hAnsi="Times New Roman" w:cs="Times New Roman"/>
          <w:sz w:val="28"/>
          <w:szCs w:val="28"/>
        </w:rPr>
        <w:t>9429,4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280ABF">
        <w:rPr>
          <w:rFonts w:ascii="Times New Roman" w:hAnsi="Times New Roman" w:cs="Times New Roman"/>
          <w:sz w:val="28"/>
          <w:szCs w:val="28"/>
        </w:rPr>
        <w:t>1404,6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280ABF">
        <w:rPr>
          <w:rFonts w:ascii="Times New Roman" w:hAnsi="Times New Roman" w:cs="Times New Roman"/>
          <w:sz w:val="28"/>
          <w:szCs w:val="28"/>
        </w:rPr>
        <w:t>1174,6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связано с постоянным ростом электрификации быта жителей сельского поселения и отставанием от этого процесса работ по реконструкции линий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0E221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0E2211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AA5D1E">
        <w:rPr>
          <w:rFonts w:ascii="Times New Roman" w:hAnsi="Times New Roman" w:cs="Times New Roman"/>
          <w:sz w:val="28"/>
          <w:szCs w:val="28"/>
        </w:rPr>
        <w:t>9429,4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AA5D1E">
        <w:rPr>
          <w:rFonts w:ascii="Times New Roman" w:hAnsi="Times New Roman" w:cs="Times New Roman"/>
          <w:sz w:val="28"/>
          <w:szCs w:val="28"/>
        </w:rPr>
        <w:t>1404,6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AA5D1E">
        <w:rPr>
          <w:rFonts w:ascii="Times New Roman" w:hAnsi="Times New Roman" w:cs="Times New Roman"/>
          <w:sz w:val="28"/>
          <w:szCs w:val="28"/>
        </w:rPr>
        <w:t>1174,6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</w:t>
      </w:r>
      <w:r>
        <w:rPr>
          <w:rFonts w:ascii="Times New Roman" w:hAnsi="Times New Roman" w:cs="Times New Roman"/>
          <w:sz w:val="28"/>
          <w:szCs w:val="28"/>
        </w:rPr>
        <w:lastRenderedPageBreak/>
        <w:t>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4D5990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3A305D" w:rsidRPr="00784185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4185" w:rsidTr="004D5990">
        <w:tc>
          <w:tcPr>
            <w:tcW w:w="675" w:type="dxa"/>
          </w:tcPr>
          <w:p w:rsid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4185" w:rsidRPr="00784185" w:rsidRDefault="004D5990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5D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784185" w:rsidRPr="00784185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784185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E003AF" w:rsidRDefault="00AA5D1E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709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24667E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  <w:vMerge w:val="restart"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0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709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4721AA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9301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Pr="00917920" w:rsidRDefault="00F13A43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930138" w:rsidTr="00F13A43">
        <w:tc>
          <w:tcPr>
            <w:tcW w:w="2376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30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F13A43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13A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30138" w:rsidTr="00F13A43">
        <w:tc>
          <w:tcPr>
            <w:tcW w:w="2376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138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0138" w:rsidRPr="004721AA" w:rsidRDefault="0093013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930138" w:rsidRPr="004721AA" w:rsidRDefault="0093013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13A43" w:rsidTr="00F13A43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4721AA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13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7B48FB"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Pr="007B48FB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F13A43" w:rsidRPr="00930138" w:rsidRDefault="00F13A43" w:rsidP="00F13A4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подпрограммам, основным мероприятия подпрограмм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«Развитие сетей наружного освещения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718"/>
        <w:gridCol w:w="1702"/>
        <w:gridCol w:w="1366"/>
        <w:gridCol w:w="851"/>
        <w:gridCol w:w="708"/>
        <w:gridCol w:w="1418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13A43" w:rsidTr="00F13A43">
        <w:tc>
          <w:tcPr>
            <w:tcW w:w="1718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366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954" w:type="dxa"/>
            <w:gridSpan w:val="7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c>
          <w:tcPr>
            <w:tcW w:w="1718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ЦСР</w:t>
            </w:r>
          </w:p>
        </w:tc>
        <w:tc>
          <w:tcPr>
            <w:tcW w:w="709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17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702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1718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1702" w:type="dxa"/>
            <w:vMerge w:val="restart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13A43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13A43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13A43" w:rsidRPr="00592E94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D56349" w:rsidTr="00F13A43">
        <w:tc>
          <w:tcPr>
            <w:tcW w:w="1718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851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6349" w:rsidRPr="00592E94" w:rsidRDefault="00D5634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D56349" w:rsidRPr="00592E94" w:rsidRDefault="00D5634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7B48FB" w:rsidTr="00F13A43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E39BC" w:rsidTr="00F13A43">
        <w:tc>
          <w:tcPr>
            <w:tcW w:w="1718" w:type="dxa"/>
            <w:vMerge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851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E39BC" w:rsidRPr="00592E94" w:rsidRDefault="00FE39BC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FE39BC" w:rsidRPr="00592E94" w:rsidRDefault="00FE39B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D4127" w:rsidTr="00F13A43">
        <w:tc>
          <w:tcPr>
            <w:tcW w:w="1718" w:type="dxa"/>
            <w:vMerge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в местный бюджет</w:t>
            </w:r>
          </w:p>
        </w:tc>
        <w:tc>
          <w:tcPr>
            <w:tcW w:w="851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D4127" w:rsidRPr="00592E94" w:rsidRDefault="009D4127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D4127" w:rsidRPr="00592E94" w:rsidRDefault="009D412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F13A43">
        <w:tc>
          <w:tcPr>
            <w:tcW w:w="1718" w:type="dxa"/>
            <w:vMerge w:val="restart"/>
          </w:tcPr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сетей наружного освещения Кагальницкого сельского поселения»</w:t>
            </w: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2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наружного освещения</w:t>
            </w:r>
          </w:p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2" w:type="dxa"/>
            <w:vMerge w:val="restart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7B48FB" w:rsidTr="007B48FB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7B48FB" w:rsidTr="007B48FB">
        <w:tc>
          <w:tcPr>
            <w:tcW w:w="1718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B48FB" w:rsidRPr="00592E94" w:rsidRDefault="007B48F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7B48FB" w:rsidRPr="00592E94" w:rsidRDefault="007B48F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F13A43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</w:tcPr>
          <w:p w:rsidR="00F663A2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663A2" w:rsidTr="007B48FB">
        <w:tc>
          <w:tcPr>
            <w:tcW w:w="1718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F663A2" w:rsidRPr="00592E94" w:rsidRDefault="00F663A2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F663A2" w:rsidRPr="00592E94" w:rsidRDefault="00F663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</w:tr>
      <w:tr w:rsidR="00281146" w:rsidTr="007B48FB">
        <w:tc>
          <w:tcPr>
            <w:tcW w:w="1718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281146" w:rsidRPr="00592E94" w:rsidRDefault="00281146" w:rsidP="00F66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9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281146" w:rsidRPr="00AA2BDB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2445,0</w:t>
            </w:r>
          </w:p>
        </w:tc>
        <w:tc>
          <w:tcPr>
            <w:tcW w:w="851" w:type="dxa"/>
          </w:tcPr>
          <w:p w:rsidR="00281146" w:rsidRPr="00AA2BDB" w:rsidRDefault="00281146" w:rsidP="00281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BDB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1146" w:rsidTr="007B48FB">
        <w:trPr>
          <w:trHeight w:val="97"/>
        </w:trPr>
        <w:tc>
          <w:tcPr>
            <w:tcW w:w="1718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146" w:rsidRPr="00592E94" w:rsidRDefault="0028114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AA2BDB" w:rsidTr="007B48FB">
        <w:trPr>
          <w:trHeight w:val="726"/>
        </w:trPr>
        <w:tc>
          <w:tcPr>
            <w:tcW w:w="1718" w:type="dxa"/>
            <w:vMerge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AA2BDB" w:rsidRDefault="00AA2BDB" w:rsidP="00F663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2BDB" w:rsidRPr="00592E94" w:rsidRDefault="00AA2BDB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13A43">
        <w:tc>
          <w:tcPr>
            <w:tcW w:w="1718" w:type="dxa"/>
            <w:vMerge w:val="restart"/>
          </w:tcPr>
          <w:p w:rsidR="00990C71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</w:tc>
        <w:tc>
          <w:tcPr>
            <w:tcW w:w="1702" w:type="dxa"/>
            <w:vMerge w:val="restart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66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990C71" w:rsidTr="00F663A2"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C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71" w:rsidTr="007B48FB">
        <w:trPr>
          <w:trHeight w:val="133"/>
        </w:trPr>
        <w:tc>
          <w:tcPr>
            <w:tcW w:w="1718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990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C71" w:rsidRPr="00592E94" w:rsidRDefault="00990C71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5937" w:rsidTr="00990C71">
        <w:trPr>
          <w:trHeight w:val="61"/>
        </w:trPr>
        <w:tc>
          <w:tcPr>
            <w:tcW w:w="1718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9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937" w:rsidTr="00990C71">
        <w:trPr>
          <w:trHeight w:val="138"/>
        </w:trPr>
        <w:tc>
          <w:tcPr>
            <w:tcW w:w="1718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D5937" w:rsidRPr="00592E94" w:rsidRDefault="008D5937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8D5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937" w:rsidRPr="00592E94" w:rsidRDefault="008D5937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7A6" w:rsidTr="007B48FB">
        <w:trPr>
          <w:trHeight w:val="678"/>
        </w:trPr>
        <w:tc>
          <w:tcPr>
            <w:tcW w:w="1718" w:type="dxa"/>
            <w:vMerge/>
          </w:tcPr>
          <w:p w:rsidR="00B127A6" w:rsidRPr="00592E94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127A6" w:rsidRPr="00592E94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B127A6" w:rsidRDefault="00B127A6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B" w:rsidTr="00F13A43">
        <w:tc>
          <w:tcPr>
            <w:tcW w:w="17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A2BDB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2BDB" w:rsidRPr="00592E94" w:rsidRDefault="00AA2BDB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993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9429,4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1404,6</w:t>
            </w:r>
          </w:p>
        </w:tc>
        <w:tc>
          <w:tcPr>
            <w:tcW w:w="993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1137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3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RPr="00DC2C57" w:rsidTr="00B127A6"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8499,4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  <w:tc>
          <w:tcPr>
            <w:tcW w:w="1137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1174,6</w:t>
            </w:r>
          </w:p>
        </w:tc>
        <w:tc>
          <w:tcPr>
            <w:tcW w:w="993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7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AF1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7.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11" w:rsidRDefault="00272D11" w:rsidP="00B60207">
      <w:pPr>
        <w:spacing w:after="0" w:line="240" w:lineRule="auto"/>
      </w:pPr>
      <w:r>
        <w:separator/>
      </w:r>
    </w:p>
  </w:endnote>
  <w:endnote w:type="continuationSeparator" w:id="0">
    <w:p w:rsidR="00272D11" w:rsidRDefault="00272D11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11" w:rsidRDefault="00272D11" w:rsidP="00B60207">
      <w:pPr>
        <w:spacing w:after="0" w:line="240" w:lineRule="auto"/>
      </w:pPr>
      <w:r>
        <w:separator/>
      </w:r>
    </w:p>
  </w:footnote>
  <w:footnote w:type="continuationSeparator" w:id="0">
    <w:p w:rsidR="00272D11" w:rsidRDefault="00272D11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E2211"/>
    <w:rsid w:val="000E400C"/>
    <w:rsid w:val="001B324D"/>
    <w:rsid w:val="001B3BF4"/>
    <w:rsid w:val="001E052E"/>
    <w:rsid w:val="00221EDD"/>
    <w:rsid w:val="00272D11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16702"/>
    <w:rsid w:val="00417892"/>
    <w:rsid w:val="0043160E"/>
    <w:rsid w:val="004673F3"/>
    <w:rsid w:val="00483171"/>
    <w:rsid w:val="00484F7F"/>
    <w:rsid w:val="004D0E6A"/>
    <w:rsid w:val="004D23A4"/>
    <w:rsid w:val="004D5990"/>
    <w:rsid w:val="004F0759"/>
    <w:rsid w:val="00502FAF"/>
    <w:rsid w:val="00503AF1"/>
    <w:rsid w:val="00504571"/>
    <w:rsid w:val="00517554"/>
    <w:rsid w:val="00586866"/>
    <w:rsid w:val="005C553F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84185"/>
    <w:rsid w:val="007B48FB"/>
    <w:rsid w:val="007C455F"/>
    <w:rsid w:val="007F1D6E"/>
    <w:rsid w:val="00823530"/>
    <w:rsid w:val="00881050"/>
    <w:rsid w:val="00882132"/>
    <w:rsid w:val="008B5AF8"/>
    <w:rsid w:val="008C3042"/>
    <w:rsid w:val="008D5937"/>
    <w:rsid w:val="00930138"/>
    <w:rsid w:val="00943D56"/>
    <w:rsid w:val="00990444"/>
    <w:rsid w:val="00990C71"/>
    <w:rsid w:val="009B256C"/>
    <w:rsid w:val="009D4127"/>
    <w:rsid w:val="009D7C79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81D7A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24B5D"/>
    <w:rsid w:val="00F321F4"/>
    <w:rsid w:val="00F663A2"/>
    <w:rsid w:val="00F8719F"/>
    <w:rsid w:val="00FC0F30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6EF5-8181-48D3-8255-30B09C3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29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7</cp:revision>
  <cp:lastPrinted>2016-02-21T07:37:00Z</cp:lastPrinted>
  <dcterms:created xsi:type="dcterms:W3CDTF">2016-02-21T07:49:00Z</dcterms:created>
  <dcterms:modified xsi:type="dcterms:W3CDTF">2016-03-03T14:15:00Z</dcterms:modified>
</cp:coreProperties>
</file>