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b w:val="1"/>
          <w:sz w:val="28"/>
        </w:rPr>
      </w:pPr>
    </w:p>
    <w:p w14:paraId="04000000">
      <w:pPr>
        <w:pStyle w:val="Style_3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5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  КАГАЛЬНИЦКОГО СЕЛЬСКОГО ПОСЕЛЕНИЯ</w:t>
      </w:r>
    </w:p>
    <w:p w14:paraId="07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АЗОВСКОГО РАЙОНА РОСТОВСКОЙ ОБЛАСТИ</w:t>
      </w:r>
    </w:p>
    <w:p w14:paraId="08000000">
      <w:pPr>
        <w:pStyle w:val="Style_3"/>
        <w:rPr>
          <w:b w:val="1"/>
          <w:sz w:val="28"/>
        </w:rPr>
      </w:pPr>
    </w:p>
    <w:p w14:paraId="09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pStyle w:val="Style_3"/>
        <w:rPr>
          <w:b w:val="1"/>
          <w:sz w:val="28"/>
        </w:rPr>
      </w:pPr>
    </w:p>
    <w:p w14:paraId="0B000000">
      <w:pPr>
        <w:pStyle w:val="Style_3"/>
        <w:rPr>
          <w:sz w:val="28"/>
        </w:rPr>
      </w:pPr>
      <w:r>
        <w:rPr>
          <w:sz w:val="28"/>
        </w:rPr>
        <w:t xml:space="preserve">______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№ </w:t>
      </w:r>
      <w:r>
        <w:rPr>
          <w:sz w:val="28"/>
        </w:rPr>
        <w:t>_____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с. Кагальник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0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</w:p>
    <w:p w14:paraId="14000000">
      <w:pPr>
        <w:ind w:firstLine="567" w:left="0"/>
        <w:jc w:val="center"/>
        <w:rPr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/>
        <w:jc w:val="center"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C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1204,4</w:t>
      </w:r>
      <w:r>
        <w:rPr>
          <w:sz w:val="28"/>
        </w:rPr>
        <w:t xml:space="preserve"> тыс .руб;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-2024год - </w:t>
      </w:r>
      <w:r>
        <w:rPr>
          <w:sz w:val="28"/>
        </w:rPr>
        <w:t>4</w:t>
      </w:r>
      <w:r>
        <w:rPr>
          <w:sz w:val="28"/>
        </w:rPr>
        <w:t>00,0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1115,5 </w:t>
      </w:r>
      <w:r>
        <w:rPr>
          <w:sz w:val="28"/>
        </w:rPr>
        <w:t>тыс. рублей;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Бюджетные ассигнования, предусмотренные </w:t>
      </w:r>
      <w:r>
        <w:rPr>
          <w:sz w:val="28"/>
        </w:rPr>
        <w:t xml:space="preserve">на </w:t>
      </w:r>
      <w:r>
        <w:rPr>
          <w:sz w:val="28"/>
        </w:rPr>
        <w:t>планов</w:t>
      </w:r>
      <w:r>
        <w:rPr>
          <w:sz w:val="28"/>
        </w:rPr>
        <w:t>ый период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> – 20</w:t>
      </w:r>
      <w:r>
        <w:rPr>
          <w:sz w:val="28"/>
        </w:rPr>
        <w:t>30</w:t>
      </w:r>
      <w:r>
        <w:rPr>
          <w:sz w:val="28"/>
        </w:rPr>
        <w:t xml:space="preserve"> годов, могут быть уточнены п</w:t>
      </w:r>
      <w:r>
        <w:rPr>
          <w:sz w:val="28"/>
        </w:rPr>
        <w:t xml:space="preserve">ри формировании проектов бюджета Кагальницкого сельского поселения </w:t>
      </w:r>
      <w:r>
        <w:rPr>
          <w:sz w:val="28"/>
        </w:rPr>
        <w:t>на 201</w:t>
      </w:r>
      <w:r>
        <w:rPr>
          <w:sz w:val="28"/>
        </w:rPr>
        <w:t>9</w:t>
      </w:r>
      <w:r>
        <w:rPr>
          <w:sz w:val="28"/>
        </w:rPr>
        <w:t>- 20</w:t>
      </w:r>
      <w:r>
        <w:rPr>
          <w:sz w:val="28"/>
        </w:rPr>
        <w:t>30</w:t>
      </w:r>
      <w:r>
        <w:rPr>
          <w:sz w:val="28"/>
        </w:rPr>
        <w:t xml:space="preserve"> годы</w:t>
      </w:r>
      <w:r>
        <w:rPr>
          <w:sz w:val="28"/>
        </w:rPr>
        <w:t>.</w:t>
      </w:r>
    </w:p>
    <w:p w14:paraId="28000000">
      <w:pPr>
        <w:ind/>
        <w:jc w:val="both"/>
        <w:rPr>
          <w:sz w:val="28"/>
        </w:rPr>
      </w:pPr>
    </w:p>
    <w:p w14:paraId="2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A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D000000">
      <w:pPr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sz w:val="28"/>
        </w:rPr>
        <w:t>-2021год - 0,0 тыс. 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- 1115,5 тыс. рублей.</w:t>
      </w:r>
    </w:p>
    <w:p w14:paraId="38000000">
      <w:pPr>
        <w:ind w:firstLine="567" w:left="0"/>
        <w:jc w:val="both"/>
        <w:rPr>
          <w:sz w:val="28"/>
        </w:rPr>
      </w:pPr>
    </w:p>
    <w:p w14:paraId="39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A000000">
      <w:pPr>
        <w:ind/>
        <w:jc w:val="both"/>
        <w:rPr>
          <w:sz w:val="28"/>
        </w:rPr>
      </w:pPr>
    </w:p>
    <w:p w14:paraId="3B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C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D000000">
      <w:pPr>
        <w:ind/>
        <w:jc w:val="both"/>
        <w:rPr>
          <w:b w:val="1"/>
          <w:sz w:val="28"/>
        </w:rPr>
      </w:pPr>
    </w:p>
    <w:p w14:paraId="3E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15,5</w:t>
      </w:r>
      <w:r>
        <w:rPr>
          <w:sz w:val="28"/>
        </w:rPr>
        <w:t xml:space="preserve"> тыс. 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-2021год - 0,0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4C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D000000">
      <w:pPr>
        <w:ind w:firstLine="0" w:left="284"/>
        <w:jc w:val="both"/>
        <w:rPr>
          <w:sz w:val="28"/>
        </w:rPr>
      </w:pPr>
    </w:p>
    <w:p w14:paraId="4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F000000">
      <w:pPr>
        <w:ind w:firstLine="0" w:left="284"/>
        <w:jc w:val="both"/>
        <w:rPr>
          <w:sz w:val="28"/>
        </w:rPr>
      </w:pPr>
    </w:p>
    <w:p w14:paraId="50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51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2 719,9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5,5</w:t>
      </w:r>
      <w:r>
        <w:rPr>
          <w:sz w:val="28"/>
        </w:rPr>
        <w:t xml:space="preserve">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1</w:t>
      </w:r>
      <w:r>
        <w:rPr>
          <w:sz w:val="28"/>
        </w:rPr>
        <w:t xml:space="preserve">00,0 тыс. руб; 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>-2021год - 0,0 тыс. 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60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61000000">
      <w:pPr>
        <w:ind/>
        <w:jc w:val="both"/>
        <w:rPr>
          <w:color w:val="000000"/>
          <w:sz w:val="28"/>
        </w:rPr>
      </w:pPr>
    </w:p>
    <w:p w14:paraId="6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приложениям к настоящему постановлению.</w:t>
      </w:r>
    </w:p>
    <w:p w14:paraId="6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>6</w:t>
      </w:r>
      <w:r>
        <w:rPr>
          <w:sz w:val="28"/>
        </w:rPr>
        <w:t xml:space="preserve">. Приложение </w:t>
      </w:r>
      <w:r>
        <w:rPr>
          <w:sz w:val="28"/>
        </w:rPr>
        <w:t>6,</w:t>
      </w:r>
      <w:r>
        <w:rPr>
          <w:sz w:val="28"/>
        </w:rPr>
        <w:t>7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исключить.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5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6000000">
      <w:pPr>
        <w:ind/>
        <w:jc w:val="both"/>
        <w:rPr>
          <w:color w:val="000000"/>
          <w:sz w:val="28"/>
        </w:rPr>
      </w:pPr>
    </w:p>
    <w:p w14:paraId="67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8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9000000">
      <w:pPr>
        <w:sectPr>
          <w:footerReference r:id="rId2" w:type="default"/>
          <w:pgSz w:h="16838" w:orient="portrait" w:w="11906"/>
          <w:pgMar w:bottom="568" w:footer="720" w:gutter="0" w:header="720" w:left="1701" w:right="991" w:top="709"/>
        </w:sectPr>
      </w:pPr>
    </w:p>
    <w:p w14:paraId="6A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B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C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6D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6E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1"/>
        <w:gridCol w:w="1896"/>
        <w:gridCol w:w="1548"/>
        <w:gridCol w:w="516"/>
        <w:gridCol w:w="660"/>
        <w:gridCol w:w="1111"/>
        <w:gridCol w:w="419"/>
        <w:gridCol w:w="752"/>
        <w:gridCol w:w="839"/>
        <w:gridCol w:w="843"/>
        <w:gridCol w:w="851"/>
        <w:gridCol w:w="700"/>
        <w:gridCol w:w="713"/>
        <w:gridCol w:w="659"/>
        <w:gridCol w:w="739"/>
        <w:gridCol w:w="659"/>
        <w:gridCol w:w="660"/>
        <w:gridCol w:w="660"/>
        <w:gridCol w:w="661"/>
        <w:gridCol w:w="735"/>
      </w:tblGrid>
      <w:tr>
        <w:trPr>
          <w:tblHeader/>
        </w:trPr>
        <w:tc>
          <w:tcPr>
            <w:tcW w:type="dxa" w:w="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0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7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872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2 719,9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4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  <w:p w14:paraId="A8000000">
            <w:pPr>
              <w:rPr>
                <w:sz w:val="20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14:paraId="AC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>
        <w:trPr>
          <w:trHeight w:hRule="atLeast" w:val="936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4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2719,9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C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14:paraId="C3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765,5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3000000">
            <w:pPr>
              <w:pStyle w:val="Style_3"/>
              <w:rPr>
                <w:sz w:val="20"/>
              </w:rPr>
            </w:pP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1614,4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1.3.</w:t>
            </w:r>
          </w:p>
          <w:p w14:paraId="F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1090</w:t>
            </w:r>
            <w:r>
              <w:rPr>
                <w:sz w:val="20"/>
              </w:rPr>
              <w:t>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</w:tbl>
    <w:p w14:paraId="07010000">
      <w:pPr>
        <w:pStyle w:val="Style_3"/>
        <w:ind/>
        <w:jc w:val="right"/>
      </w:pPr>
    </w:p>
    <w:p w14:paraId="08010000">
      <w:pPr>
        <w:pStyle w:val="Style_3"/>
        <w:ind/>
        <w:jc w:val="right"/>
      </w:pPr>
    </w:p>
    <w:p w14:paraId="09010000">
      <w:pPr>
        <w:pStyle w:val="Style_3"/>
        <w:ind/>
        <w:jc w:val="right"/>
      </w:pPr>
    </w:p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C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D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E010000">
      <w:pPr>
        <w:ind/>
        <w:jc w:val="center"/>
        <w:rPr>
          <w:caps w:val="1"/>
        </w:rPr>
      </w:pPr>
    </w:p>
    <w:p w14:paraId="0F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0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1010000">
      <w:pPr>
        <w:ind/>
        <w:jc w:val="center"/>
      </w:pPr>
      <w:r>
        <w:t>«Озеленение территории»</w:t>
      </w:r>
    </w:p>
    <w:p w14:paraId="12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113" w:right="113"/>
            </w:pPr>
            <w: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113" w:right="113"/>
            </w:pPr>
            <w: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113" w:right="113"/>
            </w:pPr>
            <w: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113" w:right="113"/>
            </w:pPr>
            <w: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113" w:right="113"/>
            </w:pPr>
            <w: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113" w:right="113"/>
            </w:pPr>
            <w: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113" w:right="113"/>
            </w:pPr>
            <w: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113" w:right="113"/>
            </w:pPr>
            <w: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113" w:right="113"/>
            </w:pPr>
            <w:r>
              <w:t>2030</w:t>
            </w:r>
          </w:p>
        </w:tc>
      </w:tr>
    </w:tbl>
    <w:p w14:paraId="23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940,00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940,00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940,00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940,00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</w:tr>
    </w:tbl>
    <w:p w14:paraId="6D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E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6F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0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1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2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3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4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5010000">
      <w:pPr>
        <w:widowControl w:val="0"/>
        <w:ind w:firstLine="0" w:left="10773"/>
        <w:jc w:val="center"/>
        <w:outlineLvl w:val="2"/>
        <w:rPr>
          <w:color w:val="000000"/>
        </w:rPr>
      </w:pPr>
    </w:p>
    <w:p w14:paraId="76010000">
      <w:pPr>
        <w:widowControl w:val="0"/>
        <w:ind w:firstLine="0" w:left="10773"/>
        <w:jc w:val="center"/>
        <w:outlineLvl w:val="2"/>
        <w:rPr>
          <w:color w:val="000000"/>
        </w:rPr>
      </w:pPr>
    </w:p>
    <w:sectPr>
      <w:footerReference r:id="rId1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Postan"/>
    <w:basedOn w:val="Style_6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6_ch"/>
    <w:link w:val="Style_12"/>
    <w:rPr>
      <w:sz w:val="28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printc"/>
    <w:basedOn w:val="Style_6"/>
    <w:link w:val="Style_15_ch"/>
    <w:pPr>
      <w:spacing w:afterAutospacing="on" w:beforeAutospacing="on"/>
      <w:ind/>
    </w:pPr>
  </w:style>
  <w:style w:styleId="Style_15_ch" w:type="character">
    <w:name w:val="printc"/>
    <w:basedOn w:val="Style_6_ch"/>
    <w:link w:val="Style_15"/>
  </w:style>
  <w:style w:styleId="Style_16" w:type="paragraph">
    <w:name w:val=" Знак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"/>
    <w:basedOn w:val="Style_6_ch"/>
    <w:link w:val="Style_16"/>
    <w:rPr>
      <w:rFonts w:ascii="Tahoma" w:hAnsi="Tahoma"/>
      <w:sz w:val="20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Body Text"/>
    <w:basedOn w:val="Style_6"/>
    <w:link w:val="Style_18_ch"/>
    <w:pPr>
      <w:spacing w:after="120"/>
      <w:ind/>
    </w:pPr>
  </w:style>
  <w:style w:styleId="Style_18_ch" w:type="character">
    <w:name w:val="Body Text"/>
    <w:basedOn w:val="Style_6_ch"/>
    <w:link w:val="Style_18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19" w:type="paragraph">
    <w:name w:val="consplusnormal"/>
    <w:basedOn w:val="Style_6"/>
    <w:link w:val="Style_19_ch"/>
    <w:pPr>
      <w:spacing w:afterAutospacing="on" w:beforeAutospacing="on"/>
      <w:ind/>
    </w:pPr>
  </w:style>
  <w:style w:styleId="Style_19_ch" w:type="character">
    <w:name w:val="consplusnormal"/>
    <w:basedOn w:val="Style_6_ch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Nonformat"/>
    <w:link w:val="Style_21_ch"/>
    <w:pPr>
      <w:widowControl w:val="0"/>
      <w:ind w:right="19772"/>
    </w:pPr>
    <w:rPr>
      <w:rFonts w:ascii="Courier New" w:hAnsi="Courier New"/>
    </w:rPr>
  </w:style>
  <w:style w:styleId="Style_21_ch" w:type="character">
    <w:name w:val="ConsNonformat"/>
    <w:link w:val="Style_21"/>
    <w:rPr>
      <w:rFonts w:ascii="Courier New" w:hAnsi="Courier New"/>
    </w:rPr>
  </w:style>
  <w:style w:styleId="Style_22" w:type="paragraph">
    <w:name w:val=" Знак1"/>
    <w:basedOn w:val="Style_6"/>
    <w:next w:val="Style_6"/>
    <w:link w:val="Style_22_ch"/>
    <w:pPr>
      <w:spacing w:after="160" w:line="240" w:lineRule="exact"/>
      <w:ind/>
    </w:pPr>
    <w:rPr>
      <w:rFonts w:ascii="Arial" w:hAnsi="Arial"/>
      <w:sz w:val="20"/>
    </w:rPr>
  </w:style>
  <w:style w:styleId="Style_22_ch" w:type="character">
    <w:name w:val=" Знак1"/>
    <w:basedOn w:val="Style_6_ch"/>
    <w:link w:val="Style_22"/>
    <w:rPr>
      <w:rFonts w:ascii="Arial" w:hAnsi="Arial"/>
      <w:sz w:val="20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Char Char Знак Знак1 Char Char1 Знак Знак Char Char"/>
    <w:basedOn w:val="Style_6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Char Char Знак Знак1 Char Char1 Знак Знак Char Char"/>
    <w:basedOn w:val="Style_6_ch"/>
    <w:link w:val="Style_25"/>
    <w:rPr>
      <w:rFonts w:ascii="Tahoma" w:hAnsi="Tahoma"/>
      <w:sz w:val="20"/>
    </w:rPr>
  </w:style>
  <w:style w:styleId="Style_26" w:type="paragraph">
    <w:name w:val="Обычный (Web)"/>
    <w:basedOn w:val="Style_6"/>
    <w:link w:val="Style_26_ch"/>
    <w:pPr>
      <w:widowControl w:val="0"/>
      <w:ind/>
    </w:pPr>
  </w:style>
  <w:style w:styleId="Style_26_ch" w:type="character">
    <w:name w:val="Обычный (Web)"/>
    <w:basedOn w:val="Style_6_ch"/>
    <w:link w:val="Style_26"/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7_ch" w:type="character">
    <w:name w:val="heading 1"/>
    <w:basedOn w:val="Style_6_ch"/>
    <w:link w:val="Style_27"/>
    <w:rPr>
      <w:rFonts w:ascii="Arial" w:hAnsi="Arial"/>
      <w:b w:val="1"/>
      <w:sz w:val="32"/>
    </w:rPr>
  </w:style>
  <w:style w:styleId="Style_28" w:type="paragraph">
    <w:name w:val="Знак Знак Знак1 Знак"/>
    <w:basedOn w:val="Style_6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Знак Знак Знак1 Знак"/>
    <w:basedOn w:val="Style_6_ch"/>
    <w:link w:val="Style_28"/>
    <w:rPr>
      <w:rFonts w:ascii="Tahoma" w:hAnsi="Tahoma"/>
      <w:sz w:val="20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"/>
    <w:basedOn w:val="Style_6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6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Strong"/>
    <w:basedOn w:val="Style_14"/>
    <w:link w:val="Style_35_ch"/>
    <w:rPr>
      <w:b w:val="1"/>
    </w:rPr>
  </w:style>
  <w:style w:styleId="Style_35_ch" w:type="character">
    <w:name w:val="Strong"/>
    <w:basedOn w:val="Style_14_ch"/>
    <w:link w:val="Style_35"/>
    <w:rPr>
      <w:b w:val="1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ConsPlusCell"/>
    <w:link w:val="Style_37_ch"/>
    <w:pPr>
      <w:widowControl w:val="0"/>
      <w:ind/>
    </w:pPr>
    <w:rPr>
      <w:rFonts w:ascii="Arial" w:hAnsi="Arial"/>
    </w:rPr>
  </w:style>
  <w:style w:styleId="Style_37_ch" w:type="character">
    <w:name w:val="ConsPlusCell"/>
    <w:link w:val="Style_37"/>
    <w:rPr>
      <w:rFonts w:ascii="Arial" w:hAnsi="Arial"/>
    </w:rPr>
  </w:style>
  <w:style w:styleId="Style_38" w:type="paragraph">
    <w:name w:val="HTML Preformatted"/>
    <w:basedOn w:val="Style_6"/>
    <w:link w:val="Style_3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8_ch" w:type="character">
    <w:name w:val="HTML Preformatted"/>
    <w:basedOn w:val="Style_6_ch"/>
    <w:link w:val="Style_38"/>
    <w:rPr>
      <w:rFonts w:ascii="Courier New" w:hAnsi="Courier New"/>
      <w:sz w:val="20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printj"/>
    <w:basedOn w:val="Style_6"/>
    <w:link w:val="Style_41_ch"/>
    <w:pPr>
      <w:spacing w:afterAutospacing="on" w:beforeAutospacing="on"/>
      <w:ind/>
    </w:pPr>
  </w:style>
  <w:style w:styleId="Style_41_ch" w:type="character">
    <w:name w:val="printj"/>
    <w:basedOn w:val="Style_6_ch"/>
    <w:link w:val="Style_41"/>
  </w:style>
  <w:style w:styleId="Style_42" w:type="paragraph">
    <w:name w:val="Balloon Text"/>
    <w:basedOn w:val="Style_6"/>
    <w:link w:val="Style_42_ch"/>
    <w:rPr>
      <w:rFonts w:ascii="Tahoma" w:hAnsi="Tahoma"/>
      <w:sz w:val="16"/>
    </w:rPr>
  </w:style>
  <w:style w:styleId="Style_42_ch" w:type="character">
    <w:name w:val="Balloon Text"/>
    <w:basedOn w:val="Style_6_ch"/>
    <w:link w:val="Style_42"/>
    <w:rPr>
      <w:rFonts w:ascii="Tahoma" w:hAnsi="Tahoma"/>
      <w:sz w:val="16"/>
    </w:rPr>
  </w:style>
  <w:style w:styleId="Style_43" w:type="paragraph">
    <w:name w:val="ConsPlusNonformat"/>
    <w:link w:val="Style_43_ch"/>
    <w:pPr>
      <w:widowControl w:val="0"/>
      <w:ind/>
    </w:pPr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4" w:type="paragraph">
    <w:name w:val="Title"/>
    <w:next w:val="Style_6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6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basedOn w:val="Style_6"/>
    <w:link w:val="Style_4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6_ch" w:type="character">
    <w:name w:val="heading 2"/>
    <w:basedOn w:val="Style_6_ch"/>
    <w:link w:val="Style_46"/>
    <w:rPr>
      <w:b w:val="1"/>
      <w:sz w:val="36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2023-01-26T09:33:16Z</dcterms:modified>
</cp:coreProperties>
</file>