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8" w:rsidRDefault="00670474" w:rsidP="00670474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468B0" w:rsidRPr="00E2259C" w:rsidRDefault="00E468B0" w:rsidP="002B39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80" w:rsidRPr="004126EC" w:rsidRDefault="00805D80" w:rsidP="007D75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EAD" w:rsidRPr="003C0E9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670474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2B3958">
        <w:rPr>
          <w:rFonts w:ascii="Times New Roman" w:hAnsi="Times New Roman" w:cs="Times New Roman"/>
          <w:sz w:val="28"/>
          <w:szCs w:val="28"/>
        </w:rPr>
        <w:t xml:space="preserve">     </w:t>
      </w:r>
      <w:r w:rsidR="002B3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39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3C0E9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C0E92" w:rsidRPr="00670474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 w:rsidRPr="00670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0E9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70474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1268FA" w:rsidRDefault="007137EC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Участие в предупреждении и ликвидации</w:t>
      </w:r>
    </w:p>
    <w:p w:rsidR="001268FA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</w:t>
      </w:r>
    </w:p>
    <w:p w:rsidR="007137EC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D5EAD" w:rsidRPr="004126EC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7137EC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5EAD">
        <w:rPr>
          <w:rFonts w:ascii="Times New Roman" w:hAnsi="Times New Roman" w:cs="Times New Roman"/>
          <w:sz w:val="28"/>
          <w:szCs w:val="28"/>
        </w:rPr>
        <w:t xml:space="preserve">     </w:t>
      </w:r>
      <w:r w:rsidR="003C0E92" w:rsidRPr="003C0E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C0E92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 1.Утвердить постановление 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«Участие в предупреждении и ликвидации</w:t>
      </w: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поселения, пожарной безопасности» </w:t>
      </w:r>
      <w:r w:rsidRPr="003C0E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2.Настоящее постановление подлежит обнародованию и размещению на сайте Администрации Кагальницкого сельского поселения.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E92">
        <w:rPr>
          <w:rFonts w:ascii="Times New Roman" w:hAnsi="Times New Roman" w:cs="Times New Roman"/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E468B0" w:rsidRPr="003C0E92" w:rsidRDefault="00E468B0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0D574A" w:rsidRPr="001268FA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C0E92" w:rsidRPr="00670474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0E92" w:rsidRPr="00670474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670474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670474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670474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670474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E92" w:rsidRPr="00670474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2DD" w:rsidRDefault="007632DD" w:rsidP="00763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Проект вносит</w:t>
      </w:r>
    </w:p>
    <w:p w:rsidR="007632DD" w:rsidRDefault="007632DD" w:rsidP="007632D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</w:t>
      </w:r>
    </w:p>
    <w:p w:rsidR="003C0E92" w:rsidRPr="007632DD" w:rsidRDefault="007632DD" w:rsidP="005C553F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Казеко И.С.</w:t>
      </w:r>
    </w:p>
    <w:p w:rsidR="003C0E92" w:rsidRPr="00670474" w:rsidRDefault="003C0E92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B07" w:rsidRDefault="003C0E92" w:rsidP="003C0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</w:t>
      </w:r>
      <w:r w:rsidR="006704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68B0"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</w:t>
      </w:r>
      <w:r w:rsidR="0067047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EC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704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2B3958" w:rsidRPr="00670474" w:rsidRDefault="00E468B0" w:rsidP="002B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3958">
        <w:rPr>
          <w:rFonts w:ascii="Times New Roman" w:hAnsi="Times New Roman" w:cs="Times New Roman"/>
          <w:sz w:val="28"/>
          <w:szCs w:val="28"/>
        </w:rPr>
        <w:t xml:space="preserve">от </w:t>
      </w:r>
      <w:r w:rsidR="00670474"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2B3958">
        <w:rPr>
          <w:rFonts w:ascii="Times New Roman" w:hAnsi="Times New Roman" w:cs="Times New Roman"/>
          <w:sz w:val="28"/>
          <w:szCs w:val="28"/>
        </w:rPr>
        <w:t xml:space="preserve">    №</w:t>
      </w:r>
      <w:r w:rsidR="000D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1268FA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 w:rsidR="005C553F">
        <w:rPr>
          <w:rFonts w:ascii="Times New Roman" w:hAnsi="Times New Roman" w:cs="Times New Roman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«Участие в предупреждении и                          </w:t>
      </w:r>
    </w:p>
    <w:p w:rsidR="00582A3F" w:rsidRPr="00582A3F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ликвидации последствий чрезвычайных ситуаций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3F" w:rsidRPr="00582A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1482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82A3F">
        <w:rPr>
          <w:rFonts w:ascii="Times New Roman" w:hAnsi="Times New Roman" w:cs="Times New Roman"/>
          <w:sz w:val="28"/>
          <w:szCs w:val="28"/>
        </w:rPr>
        <w:t xml:space="preserve">   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                поселения, пожарная безопасность»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         </w:t>
      </w:r>
      <w:r w:rsidR="00DF1482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DF1482">
        <w:rPr>
          <w:rFonts w:ascii="Times New Roman" w:hAnsi="Times New Roman" w:cs="Times New Roman"/>
          <w:sz w:val="28"/>
          <w:szCs w:val="28"/>
        </w:rPr>
        <w:t>поселения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DF14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BE4CA8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A62AFD">
        <w:rPr>
          <w:rFonts w:ascii="Times New Roman" w:hAnsi="Times New Roman" w:cs="Times New Roman"/>
          <w:sz w:val="28"/>
          <w:szCs w:val="28"/>
        </w:rPr>
        <w:t>ы и сроки           2019- 203</w:t>
      </w:r>
      <w:r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</w:rPr>
        <w:t>590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A62AFD" w:rsidRPr="00A62AFD" w:rsidRDefault="00BB49C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670474">
        <w:rPr>
          <w:rFonts w:ascii="Times New Roman" w:hAnsi="Times New Roman" w:cs="Times New Roman"/>
          <w:sz w:val="28"/>
          <w:szCs w:val="28"/>
        </w:rPr>
        <w:t>4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7B4863" w:rsidRDefault="00A62AFD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Pr="000D574A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2A3F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Pr="000D574A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81EFD" w:rsidRDefault="00381EFD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4443C6">
        <w:rPr>
          <w:rFonts w:ascii="Times New Roman" w:hAnsi="Times New Roman" w:cs="Times New Roman"/>
          <w:sz w:val="28"/>
          <w:szCs w:val="28"/>
        </w:rPr>
        <w:t xml:space="preserve">е                             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381EFD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 поселения,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МКУ АСС Азовского района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              - минимизация социального и экономического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ущерба, наносимого населению,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уменьшение количества возгораний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территории сельского поселения.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              - количество профилактических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 мероприятий по предупреждению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                бытовых и ландшафтных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- количество спасённых людей, и которым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оказана помощь при возникновении бытовых и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ландшафтных пожаров.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   201</w:t>
      </w:r>
      <w:r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отдельно не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  выделяются.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  Общий объём финансирования Подпрограммы-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  </w:t>
      </w:r>
      <w:r w:rsidR="003C0E92" w:rsidRPr="003C0E92">
        <w:rPr>
          <w:rFonts w:ascii="Times New Roman" w:hAnsi="Times New Roman" w:cs="Times New Roman"/>
          <w:sz w:val="28"/>
          <w:szCs w:val="28"/>
        </w:rPr>
        <w:t>59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670474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 - организация эффективной деятельности в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             области обеспечения пожарной безопасности;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- снижение рисков возникновения пожаров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и смягчение их последствий.</w:t>
      </w:r>
    </w:p>
    <w:p w:rsidR="002B3958" w:rsidRDefault="002B395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6484C" w:rsidRDefault="00A648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6484C" w:rsidRPr="00567DEB" w:rsidRDefault="00A648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>ояния</w:t>
      </w:r>
    </w:p>
    <w:p w:rsidR="00D21A3B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8FA">
        <w:rPr>
          <w:rFonts w:ascii="Times New Roman" w:hAnsi="Times New Roman" w:cs="Times New Roman"/>
          <w:b/>
          <w:sz w:val="28"/>
          <w:szCs w:val="28"/>
          <w:lang w:eastAsia="ru-RU"/>
        </w:rPr>
        <w:t>участия в предупреждении и ликвидации последствий чрезвычайных ситуаций в границах поселения, пожарной безопасности.</w:t>
      </w:r>
    </w:p>
    <w:p w:rsidR="001268FA" w:rsidRPr="001268FA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6E" w:rsidRDefault="00D21A3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</w:t>
      </w:r>
      <w:r w:rsidR="004443C6">
        <w:rPr>
          <w:rFonts w:ascii="Times New Roman" w:hAnsi="Times New Roman" w:cs="Times New Roman"/>
          <w:sz w:val="28"/>
          <w:szCs w:val="28"/>
        </w:rPr>
        <w:t xml:space="preserve">  </w:t>
      </w:r>
      <w:r w:rsidR="006B768A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F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B0"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защиты населения и территорий от чрезвычайных ситуаций природного и техногенного характера в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6E" w:rsidRPr="001817A9" w:rsidRDefault="00AA02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AA026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ED15ED" w:rsidRPr="00ED15ED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4443C6" w:rsidP="0001463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ED" w:rsidRPr="00BD5EAD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868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средств в готовности для выполнения задач по предназначению;</w:t>
      </w:r>
    </w:p>
    <w:p w:rsidR="00733D8D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031195"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195"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дополнительно не выделяются.</w:t>
      </w:r>
    </w:p>
    <w:p w:rsidR="00CF3713" w:rsidRDefault="00CF371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Pr="00BD5EAD" w:rsidRDefault="00D5480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D15ED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4443C6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ED15E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443C6">
        <w:rPr>
          <w:rFonts w:ascii="Times New Roman" w:hAnsi="Times New Roman" w:cs="Times New Roman"/>
          <w:b/>
          <w:sz w:val="28"/>
          <w:szCs w:val="28"/>
        </w:rPr>
        <w:t>ы</w:t>
      </w:r>
      <w:r w:rsidR="00ED15ED">
        <w:rPr>
          <w:rFonts w:ascii="Times New Roman" w:hAnsi="Times New Roman" w:cs="Times New Roman"/>
          <w:b/>
          <w:sz w:val="28"/>
          <w:szCs w:val="28"/>
        </w:rPr>
        <w:t>.</w:t>
      </w: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1" w:rsidRPr="00987D24" w:rsidRDefault="0036430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</w:t>
      </w:r>
      <w:r w:rsidR="00014636">
        <w:rPr>
          <w:rFonts w:ascii="Times New Roman" w:hAnsi="Times New Roman" w:cs="Times New Roman"/>
          <w:sz w:val="28"/>
          <w:szCs w:val="28"/>
        </w:rPr>
        <w:t xml:space="preserve"> в</w:t>
      </w:r>
      <w:r w:rsidR="003B7271">
        <w:rPr>
          <w:rFonts w:ascii="Times New Roman" w:hAnsi="Times New Roman" w:cs="Times New Roman"/>
          <w:sz w:val="28"/>
          <w:szCs w:val="28"/>
        </w:rPr>
        <w:t xml:space="preserve"> </w:t>
      </w:r>
      <w:r w:rsidR="00014636">
        <w:rPr>
          <w:rFonts w:ascii="Times New Roman" w:hAnsi="Times New Roman" w:cs="Times New Roman"/>
          <w:sz w:val="28"/>
          <w:szCs w:val="28"/>
        </w:rPr>
        <w:t>подпрограмм</w:t>
      </w:r>
      <w:r w:rsidR="00014636" w:rsidRPr="00014636">
        <w:rPr>
          <w:rFonts w:ascii="Times New Roman" w:hAnsi="Times New Roman" w:cs="Times New Roman"/>
          <w:sz w:val="28"/>
          <w:szCs w:val="28"/>
        </w:rPr>
        <w:t>е</w:t>
      </w:r>
      <w:r w:rsidR="003B7271"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E609EC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имеет отраслевую направленность и обеспечивает выполнение следующих направлений реализации муниципальной программы:</w:t>
      </w:r>
    </w:p>
    <w:p w:rsidR="00E609EC" w:rsidRP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связанных с ландшафтными пожарами.</w:t>
      </w:r>
    </w:p>
    <w:p w:rsidR="008D404C" w:rsidRDefault="008D40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</w:t>
      </w:r>
      <w:r w:rsidR="0001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E23CA3" w:rsidRDefault="00E23CA3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1268FA" w:rsidRDefault="001268FA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3C0E92" w:rsidRPr="003C0E92">
        <w:rPr>
          <w:rFonts w:ascii="Times New Roman" w:hAnsi="Times New Roman" w:cs="Times New Roman"/>
          <w:sz w:val="28"/>
          <w:szCs w:val="28"/>
        </w:rPr>
        <w:t>59</w:t>
      </w:r>
      <w:r w:rsidR="00031195" w:rsidRPr="00031195">
        <w:rPr>
          <w:rFonts w:ascii="Times New Roman" w:hAnsi="Times New Roman" w:cs="Times New Roman"/>
          <w:sz w:val="28"/>
          <w:szCs w:val="28"/>
        </w:rPr>
        <w:t>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670474">
        <w:rPr>
          <w:rFonts w:ascii="Times New Roman" w:hAnsi="Times New Roman" w:cs="Times New Roman"/>
          <w:sz w:val="28"/>
          <w:szCs w:val="28"/>
        </w:rPr>
        <w:t>4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1B1207" w:rsidRDefault="001B1207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43D56" w:rsidRDefault="00943D5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1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DEB">
        <w:rPr>
          <w:rFonts w:ascii="Times New Roman" w:hAnsi="Times New Roman" w:cs="Times New Roman"/>
          <w:b/>
          <w:sz w:val="28"/>
          <w:szCs w:val="28"/>
        </w:rPr>
        <w:t>Управление, конт</w:t>
      </w:r>
      <w:r w:rsidR="00ED15ED">
        <w:rPr>
          <w:rFonts w:ascii="Times New Roman" w:hAnsi="Times New Roman" w:cs="Times New Roman"/>
          <w:b/>
          <w:sz w:val="28"/>
          <w:szCs w:val="28"/>
        </w:rPr>
        <w:t>роль реализации и оценка эффективности муниципальной программы.</w:t>
      </w:r>
    </w:p>
    <w:p w:rsidR="003E1220" w:rsidRDefault="003E122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B02DC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2DC" w:rsidRDefault="008B02DC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реализации подпрограммы</w:t>
      </w:r>
    </w:p>
    <w:p w:rsidR="008B02DC" w:rsidRDefault="008B02DC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 муниципальной программы</w:t>
      </w:r>
      <w:r w:rsidR="0044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443C6" w:rsidRDefault="004443C6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Подавляющая часть населения сельского поселения не имеет чёткого представления о реальной опасности пожаров, система мер </w:t>
      </w:r>
      <w:r w:rsidR="002F1B00">
        <w:rPr>
          <w:rFonts w:ascii="Times New Roman" w:hAnsi="Times New Roman" w:cs="Times New Roman"/>
          <w:sz w:val="28"/>
          <w:szCs w:val="28"/>
        </w:rPr>
        <w:t>по противопожарной пропаганде  и</w:t>
      </w:r>
      <w:r>
        <w:rPr>
          <w:rFonts w:ascii="Times New Roman" w:hAnsi="Times New Roman" w:cs="Times New Roman"/>
          <w:sz w:val="28"/>
          <w:szCs w:val="28"/>
        </w:rPr>
        <w:t xml:space="preserve">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CD7651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Default="004443C6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7.1</w:t>
      </w:r>
      <w:r w:rsidR="005C3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</w:t>
      </w:r>
      <w:r w:rsidR="00381EFD">
        <w:rPr>
          <w:rFonts w:ascii="Times New Roman" w:hAnsi="Times New Roman" w:cs="Times New Roman"/>
          <w:b/>
          <w:sz w:val="28"/>
          <w:szCs w:val="28"/>
        </w:rPr>
        <w:t>)</w:t>
      </w:r>
    </w:p>
    <w:p w:rsidR="008E59A9" w:rsidRDefault="00381EF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59A9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97DBF">
        <w:rPr>
          <w:rFonts w:ascii="Times New Roman" w:hAnsi="Times New Roman" w:cs="Times New Roman"/>
          <w:sz w:val="28"/>
          <w:szCs w:val="28"/>
        </w:rPr>
        <w:t>П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населения и территории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Основные задачи</w:t>
      </w:r>
      <w:r w:rsidRPr="00797DBF">
        <w:rPr>
          <w:rFonts w:ascii="Times New Roman" w:hAnsi="Times New Roman" w:cs="Times New Roman"/>
          <w:sz w:val="28"/>
          <w:szCs w:val="28"/>
        </w:rPr>
        <w:t xml:space="preserve"> </w:t>
      </w:r>
      <w:r w:rsidR="000D3D29">
        <w:rPr>
          <w:rFonts w:ascii="Times New Roman" w:hAnsi="Times New Roman" w:cs="Times New Roman"/>
          <w:sz w:val="28"/>
          <w:szCs w:val="28"/>
        </w:rPr>
        <w:t>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7C6E" w:rsidRDefault="004443C6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7.2</w:t>
      </w:r>
      <w:r w:rsidR="002F4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81EFD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C6E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</w:t>
      </w:r>
      <w:r w:rsidR="003D1CC0">
        <w:rPr>
          <w:rFonts w:ascii="Times New Roman" w:hAnsi="Times New Roman" w:cs="Times New Roman"/>
          <w:sz w:val="28"/>
          <w:szCs w:val="28"/>
        </w:rPr>
        <w:t>чивается путём решения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C6E" w:rsidRDefault="003D1CC0" w:rsidP="001B1207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B1207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1207" w:rsidRDefault="001B120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484C" w:rsidRDefault="00A648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</w:rPr>
        <w:t>59</w:t>
      </w:r>
      <w:r w:rsidR="00797DBF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670474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E321DB" w:rsidP="00797DB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4126EC">
          <w:pgSz w:w="11906" w:h="16838"/>
          <w:pgMar w:top="568" w:right="707" w:bottom="1134" w:left="1134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Pr="001B1207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B1207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1207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в предупреждении и ликвидации последствий чрезвычайных ситуаций в </w:t>
      </w:r>
    </w:p>
    <w:p w:rsidR="001B1207" w:rsidRDefault="001B1207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1207">
        <w:rPr>
          <w:rFonts w:ascii="Times New Roman" w:hAnsi="Times New Roman" w:cs="Times New Roman"/>
          <w:sz w:val="24"/>
          <w:szCs w:val="24"/>
          <w:lang w:eastAsia="ru-RU"/>
        </w:rPr>
        <w:t>границах поселения, пожарной 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1E2"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Таблица 1.</w:t>
      </w:r>
    </w:p>
    <w:p w:rsidR="008D71E2" w:rsidRPr="00381EFD" w:rsidRDefault="008D71E2" w:rsidP="00384C8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СВЕДЕНИЯ</w:t>
      </w:r>
    </w:p>
    <w:p w:rsidR="008D71E2" w:rsidRPr="00582A3F" w:rsidRDefault="008D71E2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8D71E2" w:rsidRPr="00381EFD" w:rsidTr="00CD7651">
        <w:tc>
          <w:tcPr>
            <w:tcW w:w="76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CD7651">
        <w:tc>
          <w:tcPr>
            <w:tcW w:w="76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2023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2024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</w:tr>
      <w:tr w:rsidR="008D71E2" w:rsidRPr="00381EFD" w:rsidTr="00CD7651">
        <w:tc>
          <w:tcPr>
            <w:tcW w:w="14709" w:type="dxa"/>
            <w:gridSpan w:val="14"/>
          </w:tcPr>
          <w:p w:rsidR="008D71E2" w:rsidRPr="00381EFD" w:rsidRDefault="008D71E2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B1207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D7651" w:rsidRPr="00381EFD" w:rsidTr="00CD7651">
        <w:tc>
          <w:tcPr>
            <w:tcW w:w="14709" w:type="dxa"/>
            <w:gridSpan w:val="14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381"/>
        <w:gridCol w:w="568"/>
        <w:gridCol w:w="283"/>
        <w:gridCol w:w="1275"/>
        <w:gridCol w:w="1560"/>
        <w:gridCol w:w="141"/>
        <w:gridCol w:w="1134"/>
        <w:gridCol w:w="284"/>
        <w:gridCol w:w="992"/>
        <w:gridCol w:w="567"/>
        <w:gridCol w:w="851"/>
        <w:gridCol w:w="708"/>
        <w:gridCol w:w="1560"/>
      </w:tblGrid>
      <w:tr w:rsidR="00CD7651" w:rsidRPr="00381EFD" w:rsidTr="00824E99">
        <w:tc>
          <w:tcPr>
            <w:tcW w:w="76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gridSpan w:val="2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824E99">
        <w:tc>
          <w:tcPr>
            <w:tcW w:w="76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2025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2027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2028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12.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13.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14.             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</w:tr>
      <w:tr w:rsidR="00CD7651" w:rsidRPr="00381EFD" w:rsidTr="00824E99">
        <w:tc>
          <w:tcPr>
            <w:tcW w:w="14709" w:type="dxa"/>
            <w:gridSpan w:val="15"/>
          </w:tcPr>
          <w:p w:rsidR="00CD7651" w:rsidRPr="00381EFD" w:rsidRDefault="00CD7651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484C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651"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651" w:rsidRPr="00381EFD" w:rsidTr="00824E99">
        <w:tc>
          <w:tcPr>
            <w:tcW w:w="14709" w:type="dxa"/>
            <w:gridSpan w:val="15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A6484C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17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A6484C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17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8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CC0" w:rsidRPr="00582A3F" w:rsidRDefault="003D1CC0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71E2" w:rsidRPr="00381EFD" w:rsidRDefault="001C1B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D71E2" w:rsidRPr="00381EFD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ПЕРЕЧЕНЬ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7"/>
        <w:gridCol w:w="2375"/>
        <w:gridCol w:w="2350"/>
        <w:gridCol w:w="1429"/>
        <w:gridCol w:w="1452"/>
        <w:gridCol w:w="2149"/>
        <w:gridCol w:w="2275"/>
        <w:gridCol w:w="2199"/>
      </w:tblGrid>
      <w:tr w:rsidR="008D71E2" w:rsidRPr="00381EFD" w:rsidTr="00E2259C"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381EFD" w:rsidTr="00E2259C"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3D1CC0" w:rsidRPr="00381EFD" w:rsidTr="00E2259C"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1B120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81EFD" w:rsidRDefault="00381EF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Pr="00381EFD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87D24" w:rsidRPr="00805D80" w:rsidRDefault="008D71E2" w:rsidP="00987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8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к муниципальной программе</w:t>
      </w:r>
    </w:p>
    <w:p w:rsidR="008D71E2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tbl>
      <w:tblPr>
        <w:tblW w:w="15581" w:type="dxa"/>
        <w:tblInd w:w="-459" w:type="dxa"/>
        <w:tblLayout w:type="fixed"/>
        <w:tblLook w:val="0000"/>
      </w:tblPr>
      <w:tblGrid>
        <w:gridCol w:w="1706"/>
        <w:gridCol w:w="2405"/>
        <w:gridCol w:w="2271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37"/>
        <w:gridCol w:w="413"/>
      </w:tblGrid>
      <w:tr w:rsidR="001C1BE2" w:rsidRPr="00381EFD" w:rsidTr="00824E99">
        <w:trPr>
          <w:gridAfter w:val="1"/>
          <w:wAfter w:w="413" w:type="dxa"/>
          <w:trHeight w:val="6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4A5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1BE2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Кагальницкого сельского поселения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  <w:p w:rsidR="00B574A5" w:rsidRPr="00381EFD" w:rsidRDefault="00B574A5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2" w:rsidRPr="00381EFD" w:rsidTr="00824E99">
        <w:trPr>
          <w:gridAfter w:val="1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1C1BE2" w:rsidRPr="00381EFD" w:rsidTr="00824E99">
        <w:trPr>
          <w:gridAfter w:val="1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C1BE2" w:rsidRPr="00381EFD" w:rsidTr="00824E99">
        <w:trPr>
          <w:gridAfter w:val="1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EFD" w:rsidRPr="00381EFD" w:rsidTr="00824E99">
        <w:trPr>
          <w:gridAfter w:val="1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1B1207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C0E9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gridAfter w:val="1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FD" w:rsidRPr="00381EFD" w:rsidTr="00824E99">
        <w:trPr>
          <w:gridAfter w:val="1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C0E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1EFD" w:rsidRPr="00ED6D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1207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38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3C0E9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B1207" w:rsidRPr="000178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2E00" w:rsidRPr="001B1207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00" w:rsidRP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1C1BE2" w:rsidRPr="00381EFD" w:rsidTr="00824E99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1C1BE2" w:rsidRPr="00381EFD" w:rsidTr="00824E99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1C1BE2" w:rsidRPr="00381EFD" w:rsidTr="00824E99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FC2" w:rsidRPr="00381EFD" w:rsidTr="00824E99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FC2" w:rsidRPr="00381EFD" w:rsidTr="00824E99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74A5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</w:t>
                  </w:r>
                  <w:r w:rsidR="00211FC2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езопасность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F9B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FD7F9B" w:rsidRPr="00381EFD" w:rsidRDefault="00FD7F9B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CC0" w:rsidRPr="001B120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D71E2" w:rsidRPr="00381EFD" w:rsidRDefault="0053437C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24E99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24E99" w:rsidRPr="00381EFD">
        <w:rPr>
          <w:rFonts w:ascii="Times New Roman" w:hAnsi="Times New Roman" w:cs="Times New Roman"/>
          <w:sz w:val="24"/>
          <w:szCs w:val="24"/>
        </w:rPr>
        <w:t>4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708"/>
        <w:gridCol w:w="803"/>
      </w:tblGrid>
      <w:tr w:rsidR="00824E99" w:rsidRPr="00381EFD" w:rsidTr="00824E99">
        <w:trPr>
          <w:gridAfter w:val="2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99" w:rsidRPr="00381EFD" w:rsidRDefault="00824E99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824E99" w:rsidRPr="00381EFD" w:rsidTr="00824E99">
        <w:trPr>
          <w:gridAfter w:val="2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824E99" w:rsidRPr="00381EFD" w:rsidTr="00824E99">
        <w:trPr>
          <w:gridAfter w:val="2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E99" w:rsidRPr="00381EFD" w:rsidTr="00824E99">
        <w:trPr>
          <w:gridAfter w:val="2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1B1207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3C0E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3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Pr="00381EFD" w:rsidRDefault="003C0E92" w:rsidP="00824E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3C0E9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="003C0E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3C0E92"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211FC2"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9" w:rsidRPr="00381EFD" w:rsidTr="00211FC2">
        <w:trPr>
          <w:gridAfter w:val="1"/>
          <w:wAfter w:w="803" w:type="dxa"/>
          <w:trHeight w:val="711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1CC0" w:rsidRPr="001B1207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824E99" w:rsidRPr="00381EFD" w:rsidTr="00B51580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824E99" w:rsidRPr="00381EFD" w:rsidTr="00824E99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24E99" w:rsidRPr="00381EFD" w:rsidTr="00824E99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1580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A47E9A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 w:rsidR="00A47E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«Пожарная безопасность»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A47E9A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 w:rsidR="00A47E9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59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9" w:rsidRPr="00381EFD" w:rsidRDefault="00824E99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8D1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14F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Pr="00381EFD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24E99" w:rsidRDefault="008D71E2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11F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F5A15" w:rsidRPr="00F8575A" w:rsidRDefault="008F5A15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3346"/>
        <w:gridCol w:w="709"/>
        <w:gridCol w:w="5103"/>
        <w:gridCol w:w="5205"/>
      </w:tblGrid>
      <w:tr w:rsidR="008F5A15" w:rsidRPr="00F8575A" w:rsidTr="004443C6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A15" w:rsidRPr="00F8575A" w:rsidRDefault="008F5A15" w:rsidP="004443C6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8F5A15" w:rsidRPr="00F8575A" w:rsidTr="00B51580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8F5A15" w:rsidRPr="00F8575A" w:rsidTr="00B51580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15" w:rsidRPr="00F8575A" w:rsidTr="004443C6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B51580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15" w:rsidRPr="00F8575A" w:rsidRDefault="008F5A15" w:rsidP="008F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Pr="00384C8C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211FC2" w:rsidRPr="003001BF" w:rsidRDefault="00211FC2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211FC2" w:rsidRDefault="00211FC2" w:rsidP="00211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211FC2" w:rsidRDefault="00211FC2" w:rsidP="00211F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D1CC0" w:rsidRDefault="003D1CC0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B51580" w:rsidP="00B5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7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211FC2" w:rsidRPr="00CD23E8" w:rsidTr="00211FC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A47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3D1CC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A47E9A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A47E9A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A47E9A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A47E9A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B51580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8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11FC2" w:rsidRPr="00CD23E8" w:rsidTr="00211F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211FC2" w:rsidRPr="00CD23E8" w:rsidTr="00211F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FC2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A3F" w:rsidRPr="00582A3F" w:rsidRDefault="00582A3F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580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82A3F" w:rsidRPr="00381EFD" w:rsidRDefault="002B6F3F" w:rsidP="0058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582A3F" w:rsidRPr="00582A3F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от чрезвычайных ситуаций и </w:t>
      </w:r>
    </w:p>
    <w:p w:rsidR="00211FC2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обеспечения пожарной безопасности»</w:t>
      </w:r>
    </w:p>
    <w:p w:rsidR="00B51580" w:rsidRDefault="00B51580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p w:rsidR="00B574A5" w:rsidRDefault="00B574A5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CD23E8" w:rsidRDefault="00B51580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2B6F3F" w:rsidRPr="00CD23E8" w:rsidTr="00211FC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CB2C98" w:rsidRDefault="00211FC2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Pr="00381EFD" w:rsidRDefault="00211FC2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C2" w:rsidRPr="00381EFD" w:rsidSect="003D1C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4A" w:rsidRDefault="00BB074A" w:rsidP="00B60207">
      <w:pPr>
        <w:spacing w:after="0" w:line="240" w:lineRule="auto"/>
      </w:pPr>
      <w:r>
        <w:separator/>
      </w:r>
    </w:p>
  </w:endnote>
  <w:endnote w:type="continuationSeparator" w:id="0">
    <w:p w:rsidR="00BB074A" w:rsidRDefault="00BB074A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4A" w:rsidRDefault="00BB074A" w:rsidP="00B60207">
      <w:pPr>
        <w:spacing w:after="0" w:line="240" w:lineRule="auto"/>
      </w:pPr>
      <w:r>
        <w:separator/>
      </w:r>
    </w:p>
  </w:footnote>
  <w:footnote w:type="continuationSeparator" w:id="0">
    <w:p w:rsidR="00BB074A" w:rsidRDefault="00BB074A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4C88"/>
    <w:rsid w:val="001008D1"/>
    <w:rsid w:val="00104C68"/>
    <w:rsid w:val="001223D0"/>
    <w:rsid w:val="001268FA"/>
    <w:rsid w:val="00140681"/>
    <w:rsid w:val="00165684"/>
    <w:rsid w:val="001817A9"/>
    <w:rsid w:val="001938C4"/>
    <w:rsid w:val="00195843"/>
    <w:rsid w:val="001A773D"/>
    <w:rsid w:val="001B1207"/>
    <w:rsid w:val="001B12A2"/>
    <w:rsid w:val="001B324D"/>
    <w:rsid w:val="001B3BF4"/>
    <w:rsid w:val="001C010A"/>
    <w:rsid w:val="001C1BE2"/>
    <w:rsid w:val="001C4441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EDD"/>
    <w:rsid w:val="0023451F"/>
    <w:rsid w:val="00234794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214C"/>
    <w:rsid w:val="002D450E"/>
    <w:rsid w:val="002E7908"/>
    <w:rsid w:val="002F1B00"/>
    <w:rsid w:val="002F4186"/>
    <w:rsid w:val="0030381D"/>
    <w:rsid w:val="00321CBE"/>
    <w:rsid w:val="00337C6E"/>
    <w:rsid w:val="0034291C"/>
    <w:rsid w:val="00350B46"/>
    <w:rsid w:val="00353A8B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0E92"/>
    <w:rsid w:val="003C4A3E"/>
    <w:rsid w:val="003D1CC0"/>
    <w:rsid w:val="003E1220"/>
    <w:rsid w:val="003E6DB6"/>
    <w:rsid w:val="004007DB"/>
    <w:rsid w:val="00402524"/>
    <w:rsid w:val="004035E3"/>
    <w:rsid w:val="00405E70"/>
    <w:rsid w:val="004126EC"/>
    <w:rsid w:val="00416702"/>
    <w:rsid w:val="004169DE"/>
    <w:rsid w:val="004443C6"/>
    <w:rsid w:val="00444ECD"/>
    <w:rsid w:val="004478C2"/>
    <w:rsid w:val="00450D52"/>
    <w:rsid w:val="004673F3"/>
    <w:rsid w:val="00476F0E"/>
    <w:rsid w:val="00480B33"/>
    <w:rsid w:val="00483171"/>
    <w:rsid w:val="004A5290"/>
    <w:rsid w:val="004C39A4"/>
    <w:rsid w:val="004F5B3B"/>
    <w:rsid w:val="00502FAF"/>
    <w:rsid w:val="00504571"/>
    <w:rsid w:val="00515D1D"/>
    <w:rsid w:val="00517554"/>
    <w:rsid w:val="00524CA2"/>
    <w:rsid w:val="0053437C"/>
    <w:rsid w:val="00536731"/>
    <w:rsid w:val="00537373"/>
    <w:rsid w:val="005420AA"/>
    <w:rsid w:val="00551AB7"/>
    <w:rsid w:val="00557787"/>
    <w:rsid w:val="00561968"/>
    <w:rsid w:val="0056495C"/>
    <w:rsid w:val="00566E06"/>
    <w:rsid w:val="00567DEB"/>
    <w:rsid w:val="00582A3F"/>
    <w:rsid w:val="00586866"/>
    <w:rsid w:val="005876E0"/>
    <w:rsid w:val="005A5F04"/>
    <w:rsid w:val="005B5226"/>
    <w:rsid w:val="005C1198"/>
    <w:rsid w:val="005C3D21"/>
    <w:rsid w:val="005C553F"/>
    <w:rsid w:val="005D1233"/>
    <w:rsid w:val="005D2B18"/>
    <w:rsid w:val="005E7F4F"/>
    <w:rsid w:val="00603697"/>
    <w:rsid w:val="006128BC"/>
    <w:rsid w:val="00620675"/>
    <w:rsid w:val="00631B24"/>
    <w:rsid w:val="00641F8B"/>
    <w:rsid w:val="00644217"/>
    <w:rsid w:val="0065363F"/>
    <w:rsid w:val="006627BF"/>
    <w:rsid w:val="00670474"/>
    <w:rsid w:val="006750B1"/>
    <w:rsid w:val="00675470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9EA"/>
    <w:rsid w:val="00747A0E"/>
    <w:rsid w:val="0075563F"/>
    <w:rsid w:val="00760069"/>
    <w:rsid w:val="007632DD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7B1B"/>
    <w:rsid w:val="007D25CE"/>
    <w:rsid w:val="007D4F4E"/>
    <w:rsid w:val="007D75F2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90122D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D24"/>
    <w:rsid w:val="00990444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47E9A"/>
    <w:rsid w:val="00A56CAE"/>
    <w:rsid w:val="00A62AFD"/>
    <w:rsid w:val="00A6484C"/>
    <w:rsid w:val="00A6504A"/>
    <w:rsid w:val="00A9535B"/>
    <w:rsid w:val="00AA026E"/>
    <w:rsid w:val="00AA57BC"/>
    <w:rsid w:val="00AB1E43"/>
    <w:rsid w:val="00AD0B6B"/>
    <w:rsid w:val="00AF39FD"/>
    <w:rsid w:val="00AF4890"/>
    <w:rsid w:val="00AF66E7"/>
    <w:rsid w:val="00B276BC"/>
    <w:rsid w:val="00B365B7"/>
    <w:rsid w:val="00B41664"/>
    <w:rsid w:val="00B46030"/>
    <w:rsid w:val="00B51580"/>
    <w:rsid w:val="00B52B10"/>
    <w:rsid w:val="00B574A5"/>
    <w:rsid w:val="00B57CE9"/>
    <w:rsid w:val="00B60207"/>
    <w:rsid w:val="00B6129F"/>
    <w:rsid w:val="00B61718"/>
    <w:rsid w:val="00B62CB5"/>
    <w:rsid w:val="00B67A92"/>
    <w:rsid w:val="00B71F41"/>
    <w:rsid w:val="00B74A85"/>
    <w:rsid w:val="00B924D2"/>
    <w:rsid w:val="00BB074A"/>
    <w:rsid w:val="00BB33E0"/>
    <w:rsid w:val="00BB49C7"/>
    <w:rsid w:val="00BB7713"/>
    <w:rsid w:val="00BC5A5E"/>
    <w:rsid w:val="00BD49B1"/>
    <w:rsid w:val="00BD5934"/>
    <w:rsid w:val="00BD5EAD"/>
    <w:rsid w:val="00BD7E04"/>
    <w:rsid w:val="00BE4CA8"/>
    <w:rsid w:val="00BE5DB5"/>
    <w:rsid w:val="00BF5C3F"/>
    <w:rsid w:val="00BF742C"/>
    <w:rsid w:val="00C0674F"/>
    <w:rsid w:val="00C431E4"/>
    <w:rsid w:val="00C556EE"/>
    <w:rsid w:val="00C579D2"/>
    <w:rsid w:val="00C6124D"/>
    <w:rsid w:val="00C70AA6"/>
    <w:rsid w:val="00C74AE0"/>
    <w:rsid w:val="00C81D7A"/>
    <w:rsid w:val="00C93552"/>
    <w:rsid w:val="00CA139B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10446"/>
    <w:rsid w:val="00D21A3B"/>
    <w:rsid w:val="00D34BDB"/>
    <w:rsid w:val="00D427F9"/>
    <w:rsid w:val="00D5480F"/>
    <w:rsid w:val="00D73EC5"/>
    <w:rsid w:val="00D800BD"/>
    <w:rsid w:val="00D82355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3053"/>
    <w:rsid w:val="00E948E5"/>
    <w:rsid w:val="00EA5E3D"/>
    <w:rsid w:val="00EB1682"/>
    <w:rsid w:val="00EB6B0A"/>
    <w:rsid w:val="00EC0123"/>
    <w:rsid w:val="00EC344B"/>
    <w:rsid w:val="00EC3BB2"/>
    <w:rsid w:val="00ED15ED"/>
    <w:rsid w:val="00EF1206"/>
    <w:rsid w:val="00F24B5D"/>
    <w:rsid w:val="00F31AB5"/>
    <w:rsid w:val="00F34219"/>
    <w:rsid w:val="00F34DA3"/>
    <w:rsid w:val="00F40DA2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6813-B636-493A-9E48-599379D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7205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</cp:revision>
  <cp:lastPrinted>2019-03-11T12:15:00Z</cp:lastPrinted>
  <dcterms:created xsi:type="dcterms:W3CDTF">2020-01-09T12:51:00Z</dcterms:created>
  <dcterms:modified xsi:type="dcterms:W3CDTF">2020-01-09T13:11:00Z</dcterms:modified>
</cp:coreProperties>
</file>