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 xml:space="preserve">ПРОЕКТ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«___»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___</w:t>
      </w:r>
      <w:r>
        <w:rPr>
          <w:sz w:val="28"/>
        </w:rPr>
        <w:t xml:space="preserve">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rStyle w:val="Style_4_ch"/>
          <w:sz w:val="28"/>
        </w:rPr>
        <w:t>за 2023 год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181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2023 год», Администрация Кагальницкого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0"/>
          <w:sz w:val="28"/>
        </w:rPr>
        <w:t>ПОСТАНОВЛЯЕТ:</w:t>
      </w:r>
    </w:p>
    <w:p w14:paraId="17000000">
      <w:pPr>
        <w:ind w:firstLine="709" w:left="0"/>
        <w:rPr>
          <w:b w:val="0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» </w:t>
      </w:r>
      <w:r>
        <w:rPr>
          <w:rStyle w:val="Style_4_ch"/>
          <w:sz w:val="28"/>
        </w:rPr>
        <w:t>за 2023 год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20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1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__.02.2024г. №__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</w:t>
      </w:r>
      <w:r>
        <w:rPr>
          <w:rStyle w:val="Style_4_ch"/>
          <w:sz w:val="24"/>
        </w:rPr>
        <w:t>елении Азовского района</w:t>
      </w:r>
      <w:r>
        <w:rPr>
          <w:rStyle w:val="Style_4_ch"/>
          <w:sz w:val="24"/>
        </w:rPr>
        <w:t xml:space="preserve">»» </w:t>
      </w:r>
    </w:p>
    <w:p w14:paraId="2A000000">
      <w:pPr>
        <w:spacing w:line="264" w:lineRule="auto"/>
        <w:ind/>
        <w:jc w:val="right"/>
        <w:rPr>
          <w:sz w:val="28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  <w:r>
        <w:rPr>
          <w:rStyle w:val="Style_4_ch"/>
          <w:sz w:val="24"/>
        </w:rPr>
        <w:t>»</w:t>
      </w: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D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2762"/>
        <w:gridCol w:w="1823"/>
        <w:gridCol w:w="2967"/>
        <w:gridCol w:w="1267"/>
        <w:gridCol w:w="1267"/>
        <w:gridCol w:w="1126"/>
        <w:gridCol w:w="1126"/>
        <w:gridCol w:w="1126"/>
        <w:gridCol w:w="1180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2 228,3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3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 и утверждено постановление от 18.05.2023г. №62 «Об утверждении системы мониторинга по профилактике межнациональных, межконфессиональных конфликтов на территории поселения», постановление от 22.09.2023г. №121 «Об утверждении плана основных мероприятий, направленных на улучшение межнационального и межконфессионального согласия, социальную и культурную адаптацию мигранов, профилактику межэтнических конфликтов на территории Кагальницкого с.п.»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E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потребность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Основное мероприятие 1.3.</w:t>
            </w:r>
          </w:p>
          <w:p w14:paraId="69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от 13.03.2023 №56 на круглосуточную охрану территории сквера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2 228,3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E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</w:t>
            </w:r>
            <w:r>
              <w:rPr>
                <w:rStyle w:val="Style_4_ch"/>
                <w:sz w:val="24"/>
              </w:rPr>
              <w:t xml:space="preserve"> №253 от 28</w:t>
            </w:r>
            <w:r>
              <w:rPr>
                <w:rStyle w:val="Style_4_ch"/>
                <w:sz w:val="24"/>
              </w:rPr>
              <w:t xml:space="preserve">.08.2023г. </w:t>
            </w:r>
            <w:r>
              <w:rPr>
                <w:rStyle w:val="Style_4_ch"/>
                <w:sz w:val="24"/>
              </w:rPr>
              <w:t xml:space="preserve">с </w:t>
            </w:r>
            <w:r>
              <w:rPr>
                <w:rStyle w:val="Style_4_ch"/>
                <w:sz w:val="24"/>
              </w:rPr>
              <w:t>04 по 11</w:t>
            </w:r>
            <w:r>
              <w:rPr>
                <w:rStyle w:val="Style_4_ch"/>
                <w:sz w:val="24"/>
              </w:rPr>
              <w:t xml:space="preserve"> </w:t>
            </w:r>
            <w:r>
              <w:rPr>
                <w:rStyle w:val="Style_4_ch"/>
                <w:sz w:val="24"/>
              </w:rPr>
              <w:t>сентября</w:t>
            </w:r>
            <w:r>
              <w:rPr>
                <w:rStyle w:val="Style_4_ch"/>
                <w:sz w:val="24"/>
              </w:rPr>
              <w:t xml:space="preserve"> 2023 года трудоустроены несовершеннолетние в количестве 20 человек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  <w:p w14:paraId="8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Разработано распоряжение от 22.02.2023г. №9 «Об утверждении списка кадрового резерва для замещения вакантных должностей муниципальной службы Администрации Кагальницкого с.п.»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2 281,3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</w:tbl>
    <w:p w14:paraId="A6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Основной текст1"/>
    <w:link w:val="Style_9_ch"/>
    <w:rPr>
      <w:rFonts w:ascii="Courier New" w:hAnsi="Courier New"/>
      <w:color w:val="000000"/>
      <w:spacing w:val="0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color w:val="000000"/>
      <w:spacing w:val="0"/>
      <w:sz w:val="18"/>
      <w:highlight w:val="white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сновной текст5"/>
    <w:basedOn w:val="Style_4"/>
    <w:link w:val="Style_14_ch"/>
    <w:pPr>
      <w:widowControl w:val="0"/>
      <w:spacing w:line="202" w:lineRule="exact"/>
      <w:ind/>
    </w:pPr>
    <w:rPr>
      <w:sz w:val="18"/>
    </w:rPr>
  </w:style>
  <w:style w:styleId="Style_14_ch" w:type="character">
    <w:name w:val="Основной текст5"/>
    <w:basedOn w:val="Style_4_ch"/>
    <w:link w:val="Style_14"/>
    <w:rPr>
      <w:sz w:val="1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 3"/>
    <w:basedOn w:val="Style_4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4_ch"/>
    <w:link w:val="Style_16"/>
    <w:rPr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4_ch"/>
    <w:link w:val="Style_17"/>
    <w:rPr>
      <w:rFonts w:ascii="Cambria" w:hAnsi="Cambria"/>
      <w:b w:val="1"/>
      <w:sz w:val="26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Знак1"/>
    <w:basedOn w:val="Style_4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4_ch"/>
    <w:link w:val="Style_19"/>
    <w:rPr>
      <w:rFonts w:ascii="Tahoma" w:hAnsi="Tahoma"/>
    </w:rPr>
  </w:style>
  <w:style w:styleId="Style_20" w:type="paragraph">
    <w:name w:val="Нормальный (таблица)"/>
    <w:basedOn w:val="Style_4"/>
    <w:next w:val="Style_4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4_ch"/>
    <w:link w:val="Style_20"/>
    <w:rPr>
      <w:rFonts w:ascii="Arial" w:hAnsi="Arial"/>
      <w:sz w:val="24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Body Text"/>
    <w:basedOn w:val="Style_4"/>
    <w:link w:val="Style_25_ch"/>
  </w:style>
  <w:style w:styleId="Style_25_ch" w:type="character">
    <w:name w:val="Body Text"/>
    <w:basedOn w:val="Style_4_ch"/>
    <w:link w:val="Style_25"/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Body Text Indent"/>
    <w:basedOn w:val="Style_4"/>
    <w:link w:val="Style_28_ch"/>
    <w:pPr>
      <w:ind w:firstLine="709" w:left="0"/>
      <w:jc w:val="both"/>
    </w:pPr>
  </w:style>
  <w:style w:styleId="Style_28_ch" w:type="character">
    <w:name w:val="Body Text Indent"/>
    <w:basedOn w:val="Style_4_ch"/>
    <w:link w:val="Style_28"/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4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List Paragraph"/>
    <w:basedOn w:val="Style_4"/>
    <w:link w:val="Style_35_ch"/>
    <w:pPr>
      <w:ind w:firstLine="0" w:left="720"/>
    </w:pPr>
  </w:style>
  <w:style w:styleId="Style_35_ch" w:type="character">
    <w:name w:val="List Paragraph"/>
    <w:basedOn w:val="Style_4_ch"/>
    <w:link w:val="Style_35"/>
  </w:style>
  <w:style w:styleId="Style_36" w:type="paragraph">
    <w:name w:val="Знак11"/>
    <w:basedOn w:val="Style_4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1"/>
    <w:basedOn w:val="Style_4_ch"/>
    <w:link w:val="Style_36"/>
    <w:rPr>
      <w:rFonts w:ascii="Tahoma" w:hAnsi="Tahoma"/>
    </w:rPr>
  </w:style>
  <w:style w:styleId="Style_37" w:type="paragraph">
    <w:name w:val="toc 8"/>
    <w:next w:val="Style_4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toc 5"/>
    <w:next w:val="Style_4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Гипертекстовая ссылка"/>
    <w:link w:val="Style_39_ch"/>
    <w:rPr>
      <w:color w:val="000000"/>
      <w:sz w:val="26"/>
    </w:rPr>
  </w:style>
  <w:style w:styleId="Style_39_ch" w:type="character">
    <w:name w:val="Гипертекстовая ссылка"/>
    <w:link w:val="Style_39"/>
    <w:rPr>
      <w:color w:val="000000"/>
      <w:sz w:val="26"/>
    </w:rPr>
  </w:style>
  <w:style w:styleId="Style_40" w:type="paragraph">
    <w:name w:val="Normal (Web)"/>
    <w:basedOn w:val="Style_4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4_ch"/>
    <w:link w:val="Style_40"/>
    <w:rPr>
      <w:sz w:val="24"/>
    </w:rPr>
  </w:style>
  <w:style w:styleId="Style_41" w:type="paragraph">
    <w:name w:val="Balloon Text"/>
    <w:basedOn w:val="Style_4"/>
    <w:link w:val="Style_41_ch"/>
    <w:rPr>
      <w:rFonts w:ascii="Tahoma" w:hAnsi="Tahoma"/>
      <w:sz w:val="16"/>
    </w:rPr>
  </w:style>
  <w:style w:styleId="Style_41_ch" w:type="character">
    <w:name w:val="Balloon Text"/>
    <w:basedOn w:val="Style_4_ch"/>
    <w:link w:val="Style_41"/>
    <w:rPr>
      <w:rFonts w:ascii="Tahoma" w:hAnsi="Tahoma"/>
      <w:sz w:val="16"/>
    </w:rPr>
  </w:style>
  <w:style w:styleId="Style_42" w:type="paragraph">
    <w:name w:val="Postan"/>
    <w:basedOn w:val="Style_4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4_ch"/>
    <w:link w:val="Style_42"/>
    <w:rPr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3" w:type="paragraph">
    <w:name w:val="header"/>
    <w:basedOn w:val="Style_4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4_ch"/>
    <w:link w:val="Style_43"/>
  </w:style>
  <w:style w:styleId="Style_44" w:type="paragraph">
    <w:name w:val="Отчетный"/>
    <w:basedOn w:val="Style_4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4_ch"/>
    <w:link w:val="Style_44"/>
    <w:rPr>
      <w:sz w:val="26"/>
    </w:rPr>
  </w:style>
  <w:style w:styleId="Style_45" w:type="paragraph">
    <w:name w:val="Subtitle"/>
    <w:basedOn w:val="Style_4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4_ch"/>
    <w:link w:val="Style_45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2024-03-01T10:01:25Z</dcterms:modified>
</cp:coreProperties>
</file>