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АДМИНИСТРАЦИЯ                          </w:t>
      </w: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ПОСТАНОВЛЕНИЕ</w:t>
      </w: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с.Кагальник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>
      <w:pPr>
        <w:pStyle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182 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сетей наружного освещения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2014-2020 годы» в новой редакции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</w:t>
      </w:r>
      <w:r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«Развитие сетей наружного освещения Кагальницкого сельского поселения на 2014-2020 годы» в новой редакции согласно приложению к настоящему постановлению.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2.Настоящее постановление подлежит обнародованию и размещению на сайте Администрации Кагальницкого сельского поселения.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за исполнением настоящего постановления оставляю за собой.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Кагальницкого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К.А.Малерян</w:t>
      </w:r>
    </w:p>
    <w:p>
      <w:pPr>
        <w:pStyle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к 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постановлению администрации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lang w:val="ru-RU"/>
        </w:rPr>
        <w:t>22.08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  <w:lang w:val="ru-RU"/>
        </w:rPr>
        <w:t>124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наружного освещения Кагальницкого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сельского поселения на 2014- 2020 гг.»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освещения» 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Отсутствуют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- приведение освещенности улиц Кагальницкого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сельского поселения в соответствие с требованиями,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предъявляемыми к уровню наружного освещения мест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 движения в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ночное время суток;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сетей наружного освещения.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 доля неосвещённых улиц Кагальницкого сельского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поселения к общему числу улиц сельского поселения;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к общему числу имеющихся светильников.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2014- 2020 годы. Этапы отдельно не выделяются.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объём финансирования Программы- 13212,2 тыс.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рублей, в том числе по годам реализации Программы: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2014 год- 1470, 4 тыс. рублей;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год- 1420,2 тыс. рублей;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год- 2026,8 тыс. рублей;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год- 2037,7 тыс. рублей;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год- 2034,3 тыс. рублей;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год- 2111,4 тыс. рублей;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год- 2111,4 тыс. рублей.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 сетей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наружного освещения Кагальницкого сельского поселения.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Узяк. От подстанции А18 напряжение подаётся в хутора Петровский и Донской.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Это связано с постоянным ростом электрификации быта жителей сельского поселения и отставанием от этого процесса работ по реконструкции линий наружного освещения, линий 10 и 0,4 кВ и трансформаторных подстанций 10/0,4 кВ.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основные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ожидаемые конечные результаты, сроки и этапы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реализации Программы.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 могут быть определены следующими пунктами: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эстетического вида наружного освещения улиц;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 суток;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обстановки на улицах в темное время суток;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 светильников на светильники типа НСП с применением энергосберегающих ламп мощностью 30-40 Вт, установка щитов управления с приборами учёта электрической энергии на существующие линии наружного освещения;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2014-2020 год. Этапы реализации муниципальной программы не выделяются.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муниципальной программы, обобщенная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характеристика основных мероприятий и мероприятий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ведомственных целевых программ.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и решение её задач осуществляется в рамках подпрограммы «Развитие сетей наружного освещения». Обоснованность её выделения  в муниципальной программе обусловлена использованием программно- целевого метода при её формировании и определяется следующими факторами: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необходимостью системного подхода к формированию комплекса взаимосвязанных по ресурсам и срокам 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сводных значениях показателей отражается согласно приложению (таблица 3).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по ресурсному обеспечению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Программы.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 Кагальницкого сельского поселения на 2014- 2020 годы» являются средства местного бюджета сельского поселения.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необходимых на реализацию Программы указан ниже: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782"/>
        <w:gridCol w:w="1276"/>
        <w:gridCol w:w="851"/>
        <w:gridCol w:w="850"/>
        <w:gridCol w:w="851"/>
        <w:gridCol w:w="850"/>
        <w:gridCol w:w="851"/>
        <w:gridCol w:w="850"/>
        <w:gridCol w:w="8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restart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  <w:vMerge w:val="restart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том числе по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2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и обслуживанию уличного освещения </w:t>
            </w:r>
          </w:p>
        </w:tc>
        <w:tc>
          <w:tcPr>
            <w:tcW w:w="1276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12124,0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1856,6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1808,2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  <w:tc>
          <w:tcPr>
            <w:tcW w:w="816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2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276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1088,2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16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2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13212,2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2037,7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816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</w:tbl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4).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неисполнении расходных обязательств по итогам отчетного финансового года и необходимостью их финансового обеспечения в текущем финансовом году отображена согласно приложению (таблица 4, 5, и 8).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5. Методика оценки эффективности Программы.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предполагается использовать материалы с большим сроком службы, чем используемые на сегодняшний день, что позволит значительно сократить расходы связанные с их заменой.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количество и качество освещенных улиц Кагальницкого сельского поселения»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иных межбюджетных трансфертов на очередной финансовый год и на плановый период по направлениям расходования средств отражается согласно приложению (таблица 7).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6. Порядок взаимодействия ответственных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исполнителей, соисполнителей, участников Программы.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Ответственный исполнитель обеспечивает 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15 января года, следующего за отчетным.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ПАСПОРТ ПОДПРОГРАММЫ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(далее Подпрограмма)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Отсутствуют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- снижение потребления электрической энергии,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повышение эффективности систем наружного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освещения, увеличение количества единиц;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повышение надежности и эффективности установок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наружного освещения, снижение эксплуатационных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затрат;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увеличение площади освещаемых территорий и улиц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Кагальницкого сельского поселения.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                   - проведение мероприятий по энергосбережению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уличного освещения;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- проведение ремонта и реконструкции имеющихся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сетей наружного освещения.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- доля неосвещённых улиц Кагальницкого сельского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  поселения к общему числу улиц сельского поселения;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  - доля установленных энергосберегающих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светильников к общему числу имеющихся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светильников.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2014- 2020 годы. Этапы отдельно не выделяются.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объём финансирования Подпрограммы- 13212,2    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  тыс. рублей, в том числе по годам: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2014 год- 1470,4 тыс. рублей;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2015 год- 1420,2 тыс. рублей;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2016 год- 2026,8тыс. рублей;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2017 год- 2037,7 тыс. рублей;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2018 год- 2034,3 тыс. рублей;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2019 год- 2111,4 тыс. рублей;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2020 год- 2111,4 тыс. рублей.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муниципальной программы.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включения- отключения, контроля и функционирования уличного освещения соответствующих объектов.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 Износ сетей уличного 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(индикаторы), основные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ожидаемые конечные результаты, сроки и этапы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«Естественное и искусственное освещение», проведение мероприятий по энергосбережению и ремонту и реконструкции имеющихся сетей наружного освещения.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выше определённых целей необходимо выполнить следующие задачи Подпрограммы: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и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мероприятий ведомственных целевых программ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реконструкция существующих сетей наружного освещения и трансформаторов;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осветительных приборов на более экономичные и эффективные.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Объём средств, необходимый на реализацию мероприятий Подпрограммы указан ниже: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1134"/>
        <w:gridCol w:w="851"/>
        <w:gridCol w:w="850"/>
        <w:gridCol w:w="851"/>
        <w:gridCol w:w="850"/>
        <w:gridCol w:w="851"/>
        <w:gridCol w:w="850"/>
        <w:gridCol w:w="8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том числе по годам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1088,2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16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675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1088,2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85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16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       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на 2014-2020 гг.».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147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0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Merge w:val="restart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34" w:type="dxa"/>
            <w:vMerge w:val="restart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08" w:type="dxa"/>
            <w:gridSpan w:val="8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Значение показателей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Merge w:val="continue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 w:val="continue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2013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2014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2015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2018 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07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8.               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107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4786" w:type="dxa"/>
            <w:gridSpan w:val="11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 на 2014-2020 гг.»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07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51</w:t>
            </w:r>
          </w:p>
        </w:tc>
        <w:tc>
          <w:tcPr>
            <w:tcW w:w="107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2" w:type="dxa"/>
            <w:gridSpan w:val="9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сетей наружного освещения» 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76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поселения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07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43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1070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</w:tr>
    </w:tbl>
    <w:p>
      <w:pPr>
        <w:pStyle w:val="7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147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092"/>
        <w:gridCol w:w="2105"/>
        <w:gridCol w:w="1407"/>
        <w:gridCol w:w="1418"/>
        <w:gridCol w:w="2517"/>
        <w:gridCol w:w="2611"/>
        <w:gridCol w:w="20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Merge w:val="restart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2" w:type="dxa"/>
            <w:vMerge w:val="restart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105" w:type="dxa"/>
            <w:vMerge w:val="restart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25" w:type="dxa"/>
            <w:gridSpan w:val="2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2517" w:type="dxa"/>
            <w:vMerge w:val="restart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611" w:type="dxa"/>
            <w:vMerge w:val="restart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2053" w:type="dxa"/>
            <w:vMerge w:val="restart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  <w:vMerge w:val="continue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 w:val="continue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17" w:type="dxa"/>
            <w:vMerge w:val="continue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 w:val="continue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continue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2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2105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1407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1418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2517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261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2053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583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03" w:type="dxa"/>
            <w:gridSpan w:val="7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Подпрограмма1. «Развитие сетей наружного освещения».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92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существующих сетей наружного освещения</w:t>
            </w:r>
          </w:p>
        </w:tc>
        <w:tc>
          <w:tcPr>
            <w:tcW w:w="2105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07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418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2517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261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сетей наружного освещения до 85%, что приведет к еще большим затратам по поддержанию объектов в рабочем состоянии или полной замены объектов уличного освещения</w:t>
            </w:r>
          </w:p>
        </w:tc>
        <w:tc>
          <w:tcPr>
            <w:tcW w:w="2053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92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устаревших осветительных приборов на более экономичные и эффективные</w:t>
            </w:r>
          </w:p>
        </w:tc>
        <w:tc>
          <w:tcPr>
            <w:tcW w:w="2105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07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418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2517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устаревших осветительных приборов на более экономичные и эффективные</w:t>
            </w:r>
          </w:p>
        </w:tc>
        <w:tc>
          <w:tcPr>
            <w:tcW w:w="2611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необходимого эффекта проводимых мероприятий энергосбережения согласно СНиП 23-05-95</w:t>
            </w:r>
          </w:p>
        </w:tc>
        <w:tc>
          <w:tcPr>
            <w:tcW w:w="2053" w:type="dxa"/>
          </w:tcPr>
          <w:p>
            <w:pPr>
              <w:pStyle w:val="7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169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888"/>
        <w:gridCol w:w="791"/>
        <w:gridCol w:w="851"/>
        <w:gridCol w:w="850"/>
        <w:gridCol w:w="993"/>
        <w:gridCol w:w="992"/>
        <w:gridCol w:w="992"/>
        <w:gridCol w:w="992"/>
        <w:gridCol w:w="851"/>
        <w:gridCol w:w="992"/>
        <w:gridCol w:w="992"/>
        <w:gridCol w:w="973"/>
        <w:gridCol w:w="1012"/>
        <w:gridCol w:w="992"/>
        <w:gridCol w:w="19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gridSpan w:val="2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461" w:type="dxa"/>
            <w:gridSpan w:val="7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Значение показателя объёма услуги</w:t>
            </w:r>
          </w:p>
        </w:tc>
        <w:tc>
          <w:tcPr>
            <w:tcW w:w="7790" w:type="dxa"/>
            <w:gridSpan w:val="7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</w:trPr>
        <w:tc>
          <w:tcPr>
            <w:tcW w:w="2719" w:type="dxa"/>
            <w:gridSpan w:val="2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3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12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8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719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3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1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197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  <w:tc>
          <w:tcPr>
            <w:tcW w:w="197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gridSpan w:val="2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7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719" w:type="dxa"/>
            <w:gridSpan w:val="2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7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gridSpan w:val="2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7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gridSpan w:val="2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gridSpan w:val="2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7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719" w:type="dxa"/>
            <w:gridSpan w:val="2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7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gridSpan w:val="2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7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9" w:type="dxa"/>
            <w:gridSpan w:val="2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155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985"/>
        <w:gridCol w:w="1559"/>
        <w:gridCol w:w="851"/>
        <w:gridCol w:w="850"/>
        <w:gridCol w:w="851"/>
        <w:gridCol w:w="708"/>
        <w:gridCol w:w="993"/>
        <w:gridCol w:w="850"/>
        <w:gridCol w:w="709"/>
        <w:gridCol w:w="709"/>
        <w:gridCol w:w="850"/>
        <w:gridCol w:w="709"/>
        <w:gridCol w:w="709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4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7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8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1985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13212,2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2037,7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13132,7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2037,7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5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13132,7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2037,7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13132,7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2037,7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и обслуживанию уличного освещения   </w:t>
            </w:r>
          </w:p>
        </w:tc>
        <w:tc>
          <w:tcPr>
            <w:tcW w:w="1985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1856,6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1808,2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0712861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2652,1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9471,9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1856,6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1808,2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существующих сетей наружного освещения и трансформаторов</w:t>
            </w:r>
          </w:p>
        </w:tc>
        <w:tc>
          <w:tcPr>
            <w:tcW w:w="1985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 1.2. Администрация Кагальницкого сельского поселения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1008,7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0712846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770,2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7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</w:tbl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5.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«Развитие сетей наружного освещения Кагальницкого сельского поселения»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147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6"/>
        <w:gridCol w:w="2214"/>
        <w:gridCol w:w="1899"/>
        <w:gridCol w:w="992"/>
        <w:gridCol w:w="1137"/>
        <w:gridCol w:w="993"/>
        <w:gridCol w:w="992"/>
        <w:gridCol w:w="992"/>
        <w:gridCol w:w="992"/>
        <w:gridCol w:w="10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99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7" w:type="dxa"/>
            <w:gridSpan w:val="7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Оценка расходов (тыс. рублей), годы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350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2.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13212,2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2037,7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13212,7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2037,7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12124,0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1856,6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1808,2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12124,0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1856,6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1808,2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6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3506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>
            <w:pPr>
              <w:pStyle w:val="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освещения, трансформаторов</w:t>
            </w:r>
          </w:p>
          <w:p>
            <w:pPr>
              <w:pStyle w:val="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1008,7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506" w:type="dxa"/>
            <w:vMerge w:val="continue"/>
          </w:tcPr>
          <w:p>
            <w:pPr>
              <w:pStyle w:val="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506" w:type="dxa"/>
            <w:vMerge w:val="continue"/>
          </w:tcPr>
          <w:p>
            <w:pPr>
              <w:pStyle w:val="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506" w:type="dxa"/>
            <w:vMerge w:val="continue"/>
          </w:tcPr>
          <w:p>
            <w:pPr>
              <w:pStyle w:val="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1008,7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3506" w:type="dxa"/>
            <w:vMerge w:val="continue"/>
          </w:tcPr>
          <w:p>
            <w:pPr>
              <w:pStyle w:val="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7" w:hRule="atLeast"/>
        </w:trPr>
        <w:tc>
          <w:tcPr>
            <w:tcW w:w="3506" w:type="dxa"/>
            <w:vMerge w:val="continue"/>
          </w:tcPr>
          <w:p>
            <w:pPr>
              <w:pStyle w:val="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8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Приложение к муниципальной программе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6.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РАСПРЕДЕЛЕНИЕ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иных межбюджетных трансфертов и направлениям расходования муниципальной программы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«Развитие сетей наружного освещения Кагальницкого сельского поселения»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147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315"/>
        <w:gridCol w:w="1010"/>
        <w:gridCol w:w="976"/>
        <w:gridCol w:w="850"/>
        <w:gridCol w:w="1275"/>
        <w:gridCol w:w="850"/>
        <w:gridCol w:w="993"/>
        <w:gridCol w:w="708"/>
        <w:gridCol w:w="1276"/>
        <w:gridCol w:w="851"/>
        <w:gridCol w:w="992"/>
        <w:gridCol w:w="709"/>
        <w:gridCol w:w="12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15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111" w:type="dxa"/>
            <w:gridSpan w:val="4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2014 год</w:t>
            </w:r>
          </w:p>
        </w:tc>
        <w:tc>
          <w:tcPr>
            <w:tcW w:w="3827" w:type="dxa"/>
            <w:gridSpan w:val="4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2015 год</w:t>
            </w:r>
          </w:p>
        </w:tc>
        <w:tc>
          <w:tcPr>
            <w:tcW w:w="3763" w:type="dxa"/>
            <w:gridSpan w:val="4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2016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1" w:type="dxa"/>
            <w:gridSpan w:val="3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том числе</w:t>
            </w:r>
          </w:p>
        </w:tc>
        <w:tc>
          <w:tcPr>
            <w:tcW w:w="850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 том числе</w:t>
            </w:r>
          </w:p>
        </w:tc>
        <w:tc>
          <w:tcPr>
            <w:tcW w:w="851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  <w:gridSpan w:val="3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том числе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6" w:hRule="atLeast"/>
        </w:trPr>
        <w:tc>
          <w:tcPr>
            <w:tcW w:w="770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850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5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0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8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6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1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9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11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2.</w:t>
            </w:r>
          </w:p>
        </w:tc>
        <w:tc>
          <w:tcPr>
            <w:tcW w:w="101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97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6.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127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121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1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7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1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1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Развитие сетей наружного освещения 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      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8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ПЕРЕЧЕНЬ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инвестиционных проектов (объектов капитального строительства, реконструкции, капитального ремонта)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находящихся в муниципальной собственности Кагальницкого сельского поселения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147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703"/>
        <w:gridCol w:w="2384"/>
        <w:gridCol w:w="2123"/>
        <w:gridCol w:w="1618"/>
        <w:gridCol w:w="720"/>
        <w:gridCol w:w="706"/>
        <w:gridCol w:w="709"/>
        <w:gridCol w:w="709"/>
        <w:gridCol w:w="850"/>
        <w:gridCol w:w="851"/>
        <w:gridCol w:w="6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0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84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12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18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5189" w:type="dxa"/>
            <w:gridSpan w:val="7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 по годам реализации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</w:trPr>
        <w:tc>
          <w:tcPr>
            <w:tcW w:w="76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6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4" w:type="dxa"/>
            <w:textDirection w:val="btLr"/>
          </w:tcPr>
          <w:p>
            <w:pPr>
              <w:pStyle w:val="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70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</w:t>
            </w: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</w:t>
            </w: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4.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5.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384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1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  «Развитие сетей наружного освещения»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84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84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4" w:type="dxa"/>
            <w:vMerge w:val="restart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553F"/>
    <w:rsid w:val="00020C9B"/>
    <w:rsid w:val="000271E5"/>
    <w:rsid w:val="00041C30"/>
    <w:rsid w:val="00052D99"/>
    <w:rsid w:val="00085AD1"/>
    <w:rsid w:val="00092A31"/>
    <w:rsid w:val="000B4D5B"/>
    <w:rsid w:val="000E2211"/>
    <w:rsid w:val="000E400C"/>
    <w:rsid w:val="001834D7"/>
    <w:rsid w:val="001B324D"/>
    <w:rsid w:val="001B3BF4"/>
    <w:rsid w:val="001E052E"/>
    <w:rsid w:val="00221EDD"/>
    <w:rsid w:val="00260B0A"/>
    <w:rsid w:val="00272D11"/>
    <w:rsid w:val="002734C7"/>
    <w:rsid w:val="00275151"/>
    <w:rsid w:val="00280ABF"/>
    <w:rsid w:val="00281146"/>
    <w:rsid w:val="002B42BF"/>
    <w:rsid w:val="00350B46"/>
    <w:rsid w:val="003951AE"/>
    <w:rsid w:val="003A305D"/>
    <w:rsid w:val="003E1220"/>
    <w:rsid w:val="003E6DB6"/>
    <w:rsid w:val="00400BC8"/>
    <w:rsid w:val="00402524"/>
    <w:rsid w:val="00407B3F"/>
    <w:rsid w:val="00416702"/>
    <w:rsid w:val="00417892"/>
    <w:rsid w:val="0043160E"/>
    <w:rsid w:val="00446528"/>
    <w:rsid w:val="004673F3"/>
    <w:rsid w:val="00483171"/>
    <w:rsid w:val="00484F7F"/>
    <w:rsid w:val="004A5903"/>
    <w:rsid w:val="004C48AF"/>
    <w:rsid w:val="004D0E6A"/>
    <w:rsid w:val="004D23A4"/>
    <w:rsid w:val="004D5990"/>
    <w:rsid w:val="004F0759"/>
    <w:rsid w:val="00502FAF"/>
    <w:rsid w:val="00503AF1"/>
    <w:rsid w:val="00504571"/>
    <w:rsid w:val="005125F8"/>
    <w:rsid w:val="00517554"/>
    <w:rsid w:val="005805D7"/>
    <w:rsid w:val="00586866"/>
    <w:rsid w:val="005B418C"/>
    <w:rsid w:val="005C553F"/>
    <w:rsid w:val="00620675"/>
    <w:rsid w:val="006309E0"/>
    <w:rsid w:val="00631B24"/>
    <w:rsid w:val="00636146"/>
    <w:rsid w:val="00640472"/>
    <w:rsid w:val="00644217"/>
    <w:rsid w:val="00693DD9"/>
    <w:rsid w:val="00694BCE"/>
    <w:rsid w:val="006B4576"/>
    <w:rsid w:val="006C4D02"/>
    <w:rsid w:val="006F7CB7"/>
    <w:rsid w:val="0072165C"/>
    <w:rsid w:val="00733D8D"/>
    <w:rsid w:val="00754AF6"/>
    <w:rsid w:val="007574A2"/>
    <w:rsid w:val="00784185"/>
    <w:rsid w:val="007B2852"/>
    <w:rsid w:val="007B48FB"/>
    <w:rsid w:val="007C455F"/>
    <w:rsid w:val="007F1D6E"/>
    <w:rsid w:val="00823530"/>
    <w:rsid w:val="00852BCF"/>
    <w:rsid w:val="00872BC2"/>
    <w:rsid w:val="00881050"/>
    <w:rsid w:val="00882132"/>
    <w:rsid w:val="008B5AF8"/>
    <w:rsid w:val="008C1A52"/>
    <w:rsid w:val="008C3042"/>
    <w:rsid w:val="008C5F89"/>
    <w:rsid w:val="008D5937"/>
    <w:rsid w:val="00930138"/>
    <w:rsid w:val="00937474"/>
    <w:rsid w:val="00943D56"/>
    <w:rsid w:val="00987FB9"/>
    <w:rsid w:val="00990444"/>
    <w:rsid w:val="00990C71"/>
    <w:rsid w:val="009B256C"/>
    <w:rsid w:val="009D4127"/>
    <w:rsid w:val="009D5C96"/>
    <w:rsid w:val="009D7C79"/>
    <w:rsid w:val="009E438B"/>
    <w:rsid w:val="009E7E8B"/>
    <w:rsid w:val="00A33DB1"/>
    <w:rsid w:val="00A378CF"/>
    <w:rsid w:val="00AA026E"/>
    <w:rsid w:val="00AA2BDB"/>
    <w:rsid w:val="00AA5D1E"/>
    <w:rsid w:val="00AB1E43"/>
    <w:rsid w:val="00B127A6"/>
    <w:rsid w:val="00B52B10"/>
    <w:rsid w:val="00B60207"/>
    <w:rsid w:val="00B74A85"/>
    <w:rsid w:val="00BB49C7"/>
    <w:rsid w:val="00BD7FFA"/>
    <w:rsid w:val="00BE4CA8"/>
    <w:rsid w:val="00BF3E6B"/>
    <w:rsid w:val="00C0674F"/>
    <w:rsid w:val="00C431E4"/>
    <w:rsid w:val="00C450C4"/>
    <w:rsid w:val="00C65B9A"/>
    <w:rsid w:val="00C72AA0"/>
    <w:rsid w:val="00C81D7A"/>
    <w:rsid w:val="00C854D1"/>
    <w:rsid w:val="00C93552"/>
    <w:rsid w:val="00CA532E"/>
    <w:rsid w:val="00CC1B95"/>
    <w:rsid w:val="00CC5825"/>
    <w:rsid w:val="00CF3713"/>
    <w:rsid w:val="00CF7AFF"/>
    <w:rsid w:val="00CF7B2B"/>
    <w:rsid w:val="00D02441"/>
    <w:rsid w:val="00D21A3B"/>
    <w:rsid w:val="00D5480F"/>
    <w:rsid w:val="00D56349"/>
    <w:rsid w:val="00D76BFB"/>
    <w:rsid w:val="00D908B4"/>
    <w:rsid w:val="00DA007B"/>
    <w:rsid w:val="00DB1801"/>
    <w:rsid w:val="00DD7B07"/>
    <w:rsid w:val="00DE5907"/>
    <w:rsid w:val="00DF1482"/>
    <w:rsid w:val="00DF265F"/>
    <w:rsid w:val="00E03FA8"/>
    <w:rsid w:val="00E133A7"/>
    <w:rsid w:val="00E17139"/>
    <w:rsid w:val="00E31B80"/>
    <w:rsid w:val="00E64457"/>
    <w:rsid w:val="00E76DFB"/>
    <w:rsid w:val="00E80AE8"/>
    <w:rsid w:val="00E871DA"/>
    <w:rsid w:val="00E91DE5"/>
    <w:rsid w:val="00E948E5"/>
    <w:rsid w:val="00EB039E"/>
    <w:rsid w:val="00ED085B"/>
    <w:rsid w:val="00F0418B"/>
    <w:rsid w:val="00F067FC"/>
    <w:rsid w:val="00F13A43"/>
    <w:rsid w:val="00F15E88"/>
    <w:rsid w:val="00F24B5D"/>
    <w:rsid w:val="00F321F4"/>
    <w:rsid w:val="00F663A2"/>
    <w:rsid w:val="00F8719F"/>
    <w:rsid w:val="00FC0F30"/>
    <w:rsid w:val="00FE39BC"/>
    <w:rsid w:val="062A32C1"/>
    <w:rsid w:val="1AC603D0"/>
    <w:rsid w:val="44A65DDB"/>
    <w:rsid w:val="6B21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No Spacing"/>
    <w:link w:val="10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Верхний колонтитул Знак"/>
    <w:basedOn w:val="4"/>
    <w:link w:val="3"/>
    <w:semiHidden/>
    <w:uiPriority w:val="99"/>
  </w:style>
  <w:style w:type="character" w:customStyle="1" w:styleId="9">
    <w:name w:val="Нижний колонтитул Знак"/>
    <w:basedOn w:val="4"/>
    <w:link w:val="2"/>
    <w:semiHidden/>
    <w:qFormat/>
    <w:uiPriority w:val="99"/>
  </w:style>
  <w:style w:type="character" w:customStyle="1" w:styleId="10">
    <w:name w:val="Без интервала Знак"/>
    <w:link w:val="7"/>
    <w:qFormat/>
    <w:locked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CC5643-D52D-4A5F-9648-ABCD9CF814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25</Pages>
  <Words>5717</Words>
  <Characters>32593</Characters>
  <Lines>271</Lines>
  <Paragraphs>76</Paragraphs>
  <ScaleCrop>false</ScaleCrop>
  <LinksUpToDate>false</LinksUpToDate>
  <CharactersWithSpaces>38234</CharactersWithSpaces>
  <Application>WPS Office_10.2.0.5926_F1E327BC-269C-435d-A152-05C5408002CA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2017-08-29T08:27:00Z</dcterms:created>
  <dc:creator>OBSHIY OTDEL</dc:creator>
  <cp:lastModifiedBy>Ira</cp:lastModifiedBy>
  <cp:lastPrinted>2017-01-27T05:58:00Z</cp:lastPrinted>
  <dcterms:modified xsi:type="dcterms:W3CDTF">2017-08-29T12:33:31Z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