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4D36B2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E9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144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301633">
        <w:rPr>
          <w:rFonts w:ascii="Times New Roman" w:hAnsi="Times New Roman" w:cs="Times New Roman"/>
          <w:sz w:val="28"/>
          <w:szCs w:val="28"/>
        </w:rPr>
        <w:t>постановлени</w:t>
      </w:r>
      <w:r w:rsidR="00301633" w:rsidRPr="003016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301633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322348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01633" w:rsidRPr="009C4C34" w:rsidRDefault="00301633" w:rsidP="00322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Default="00322348" w:rsidP="002F3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2F3F7C">
        <w:rPr>
          <w:rFonts w:ascii="Times New Roman" w:hAnsi="Times New Roman" w:cs="Times New Roman"/>
          <w:sz w:val="28"/>
          <w:szCs w:val="28"/>
        </w:rPr>
        <w:t>«Развитие сетей наружного освещения»</w:t>
      </w:r>
      <w:r w:rsidR="004D36B2" w:rsidRPr="004D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322348" w:rsidRDefault="00322348" w:rsidP="0032234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322348" w:rsidRDefault="00322348" w:rsidP="00322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 w:rsidR="00D4765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К.А.Малерян</w:t>
      </w:r>
    </w:p>
    <w:p w:rsidR="00A378CF" w:rsidRPr="004D36B2" w:rsidRDefault="00937474" w:rsidP="005C55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4D36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4D36B2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4D36B2">
        <w:rPr>
          <w:rFonts w:ascii="Times New Roman" w:hAnsi="Times New Roman" w:cs="Times New Roman"/>
          <w:sz w:val="28"/>
          <w:szCs w:val="28"/>
        </w:rPr>
        <w:t>« 25 » 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4D36B2">
        <w:rPr>
          <w:rFonts w:ascii="Times New Roman" w:hAnsi="Times New Roman" w:cs="Times New Roman"/>
          <w:sz w:val="28"/>
          <w:szCs w:val="28"/>
          <w:lang w:val="en-US"/>
        </w:rPr>
        <w:t xml:space="preserve"> 144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B223C3">
        <w:rPr>
          <w:rFonts w:ascii="Times New Roman" w:hAnsi="Times New Roman" w:cs="Times New Roman"/>
          <w:sz w:val="28"/>
          <w:szCs w:val="28"/>
        </w:rPr>
        <w:t xml:space="preserve">24394,2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BB49C7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0A5ED1">
        <w:rPr>
          <w:rFonts w:ascii="Times New Roman" w:hAnsi="Times New Roman" w:cs="Times New Roman"/>
          <w:sz w:val="28"/>
          <w:szCs w:val="28"/>
        </w:rPr>
        <w:t>–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0A5ED1">
        <w:rPr>
          <w:rFonts w:ascii="Times New Roman" w:hAnsi="Times New Roman" w:cs="Times New Roman"/>
          <w:sz w:val="28"/>
          <w:szCs w:val="28"/>
        </w:rPr>
        <w:t>1995,7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</w:t>
      </w:r>
      <w:r w:rsidR="000A5E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33,5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06">
        <w:rPr>
          <w:rFonts w:ascii="Times New Roman" w:hAnsi="Times New Roman" w:cs="Times New Roman"/>
          <w:sz w:val="28"/>
          <w:szCs w:val="28"/>
        </w:rPr>
        <w:t>2</w:t>
      </w:r>
      <w:r w:rsidR="00B223C3">
        <w:rPr>
          <w:rFonts w:ascii="Times New Roman" w:hAnsi="Times New Roman" w:cs="Times New Roman"/>
          <w:sz w:val="28"/>
          <w:szCs w:val="28"/>
        </w:rPr>
        <w:t>0</w:t>
      </w:r>
      <w:r w:rsidR="00CB4406">
        <w:rPr>
          <w:rFonts w:ascii="Times New Roman" w:hAnsi="Times New Roman" w:cs="Times New Roman"/>
          <w:sz w:val="28"/>
          <w:szCs w:val="28"/>
        </w:rPr>
        <w:t>33,5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Подпрограммы- 24394,2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A70B4B" w:rsidRDefault="00A70B4B" w:rsidP="00A70B4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– 1995,7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- 2063,5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- 2033,5 тыс .руб;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-2029год - 2033,5 тыс. руб;</w:t>
      </w:r>
    </w:p>
    <w:p w:rsidR="00A70B4B" w:rsidRDefault="00A70B4B" w:rsidP="00A70B4B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- 2033,5 тыс. руб.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0A5ED1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техническому обслуживанию уличного освещения;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E871DA" w:rsidRPr="000A5ED1" w:rsidRDefault="00E871D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E871D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1985"/>
        <w:gridCol w:w="1134"/>
        <w:gridCol w:w="992"/>
        <w:gridCol w:w="1134"/>
        <w:gridCol w:w="992"/>
        <w:gridCol w:w="1134"/>
        <w:gridCol w:w="1134"/>
        <w:gridCol w:w="1134"/>
      </w:tblGrid>
      <w:tr w:rsidR="00414E74" w:rsidTr="00B8442C">
        <w:tc>
          <w:tcPr>
            <w:tcW w:w="709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6520" w:type="dxa"/>
            <w:gridSpan w:val="6"/>
          </w:tcPr>
          <w:p w:rsidR="00414E74" w:rsidRPr="00B32B62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414E74" w:rsidTr="00B8442C">
        <w:tc>
          <w:tcPr>
            <w:tcW w:w="709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74" w:rsidRPr="00E871DA" w:rsidRDefault="00414E74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545B" w:rsidTr="00B8442C"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134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A2" w:rsidRDefault="00F056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4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6545B" w:rsidTr="00B8442C"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545B" w:rsidTr="00B8442C">
        <w:trPr>
          <w:trHeight w:val="633"/>
        </w:trPr>
        <w:tc>
          <w:tcPr>
            <w:tcW w:w="709" w:type="dxa"/>
          </w:tcPr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92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5B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26545B" w:rsidTr="00B8442C">
        <w:trPr>
          <w:trHeight w:val="582"/>
        </w:trPr>
        <w:tc>
          <w:tcPr>
            <w:tcW w:w="709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545B" w:rsidRPr="00E871DA" w:rsidRDefault="0026545B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992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134" w:type="dxa"/>
          </w:tcPr>
          <w:p w:rsidR="0026545B" w:rsidRPr="00E871DA" w:rsidRDefault="0097662D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6545B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26545B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1134"/>
        <w:gridCol w:w="1275"/>
        <w:gridCol w:w="1276"/>
        <w:gridCol w:w="1418"/>
        <w:gridCol w:w="1275"/>
      </w:tblGrid>
      <w:tr w:rsidR="002F29A2" w:rsidTr="00FE1499">
        <w:tc>
          <w:tcPr>
            <w:tcW w:w="567" w:type="dxa"/>
            <w:vMerge w:val="restart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6"/>
          </w:tcPr>
          <w:p w:rsidR="002F29A2" w:rsidRPr="00B32B6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B8442C" w:rsidTr="00FE1499">
        <w:tc>
          <w:tcPr>
            <w:tcW w:w="567" w:type="dxa"/>
            <w:vMerge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442C" w:rsidTr="00FE1499"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B223C3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9A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8442C" w:rsidTr="00FE1499"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442C" w:rsidTr="00FE1499">
        <w:trPr>
          <w:trHeight w:val="633"/>
        </w:trPr>
        <w:tc>
          <w:tcPr>
            <w:tcW w:w="567" w:type="dxa"/>
          </w:tcPr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6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418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1D0046" w:rsidRDefault="001D0046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A2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B8442C" w:rsidTr="00FE1499">
        <w:trPr>
          <w:trHeight w:val="558"/>
        </w:trPr>
        <w:tc>
          <w:tcPr>
            <w:tcW w:w="56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29A2" w:rsidRPr="00E871DA" w:rsidRDefault="002F29A2" w:rsidP="00DD7010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8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</w:tcPr>
          <w:p w:rsidR="002F29A2" w:rsidRPr="00E871DA" w:rsidRDefault="00B06BD9" w:rsidP="0097662D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AA8" w:rsidRPr="005C2AA8" w:rsidRDefault="005C2AA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4C34" w:rsidRPr="009C4C34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техническому обслуживанию уличного освещения;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уличного освещения.</w:t>
      </w:r>
    </w:p>
    <w:p w:rsidR="005C2AA8" w:rsidRDefault="005C2AA8" w:rsidP="005C2AA8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1985"/>
        <w:gridCol w:w="1134"/>
        <w:gridCol w:w="992"/>
        <w:gridCol w:w="1134"/>
        <w:gridCol w:w="992"/>
        <w:gridCol w:w="1134"/>
        <w:gridCol w:w="1134"/>
        <w:gridCol w:w="1134"/>
      </w:tblGrid>
      <w:tr w:rsidR="00D02B0F" w:rsidTr="00CD23E8">
        <w:tc>
          <w:tcPr>
            <w:tcW w:w="709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6520" w:type="dxa"/>
            <w:gridSpan w:val="6"/>
          </w:tcPr>
          <w:p w:rsidR="00D02B0F" w:rsidRPr="00B32B62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02B0F" w:rsidTr="00CD23E8">
        <w:tc>
          <w:tcPr>
            <w:tcW w:w="709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2B0F" w:rsidTr="00CD23E8"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rPr>
          <w:trHeight w:val="633"/>
        </w:trPr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D02B0F" w:rsidTr="00CD23E8">
        <w:trPr>
          <w:trHeight w:val="582"/>
        </w:trPr>
        <w:tc>
          <w:tcPr>
            <w:tcW w:w="709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992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92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</w:tbl>
    <w:p w:rsidR="00D02B0F" w:rsidRDefault="00D02B0F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4C34" w:rsidRPr="009C4C34" w:rsidRDefault="009C4C34" w:rsidP="00D02B0F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2127"/>
        <w:gridCol w:w="1276"/>
        <w:gridCol w:w="1134"/>
        <w:gridCol w:w="1275"/>
        <w:gridCol w:w="1276"/>
        <w:gridCol w:w="1418"/>
        <w:gridCol w:w="1275"/>
      </w:tblGrid>
      <w:tr w:rsidR="00D02B0F" w:rsidTr="00CD23E8">
        <w:tc>
          <w:tcPr>
            <w:tcW w:w="567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6"/>
          </w:tcPr>
          <w:p w:rsidR="00D02B0F" w:rsidRPr="00B32B62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</w:tr>
      <w:tr w:rsidR="00D02B0F" w:rsidTr="00CD23E8">
        <w:tc>
          <w:tcPr>
            <w:tcW w:w="567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2B0F" w:rsidTr="00CD23E8"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уличного освещения 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02B0F" w:rsidTr="00CD23E8">
        <w:trPr>
          <w:trHeight w:val="633"/>
        </w:trPr>
        <w:tc>
          <w:tcPr>
            <w:tcW w:w="567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134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6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418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275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  <w:tr w:rsidR="00D02B0F" w:rsidTr="00CD23E8">
        <w:trPr>
          <w:trHeight w:val="558"/>
        </w:trPr>
        <w:tc>
          <w:tcPr>
            <w:tcW w:w="56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34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6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418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75" w:type="dxa"/>
          </w:tcPr>
          <w:p w:rsidR="00D02B0F" w:rsidRPr="00E871DA" w:rsidRDefault="00D02B0F" w:rsidP="00CD23E8">
            <w:pPr>
              <w:pStyle w:val="a3"/>
              <w:tabs>
                <w:tab w:val="lef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</w:tbl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FE1499">
          <w:pgSz w:w="11906" w:h="16838"/>
          <w:pgMar w:top="1134" w:right="849" w:bottom="993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13A43" w:rsidRPr="009C4C34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СВЕДЕНИЯ</w:t>
      </w:r>
    </w:p>
    <w:p w:rsidR="00F13A43" w:rsidRPr="009C4C3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14" w:type="dxa"/>
          </w:tcPr>
          <w:p w:rsidR="00FD61D6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A70B4B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96552" w:rsidRPr="00A70B4B" w:rsidRDefault="00896552" w:rsidP="00896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96552" w:rsidRPr="00A70B4B" w:rsidTr="00896552">
        <w:tc>
          <w:tcPr>
            <w:tcW w:w="1970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 Кагальницкого сельского поселения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9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966" w:type="dxa"/>
          </w:tcPr>
          <w:p w:rsidR="00896552" w:rsidRPr="00A70B4B" w:rsidRDefault="00896552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965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96552" w:rsidRDefault="00896552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896552">
        <w:trPr>
          <w:trHeight w:val="1380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1695,7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1763,5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0952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8A0952" w:rsidRPr="00A70B4B" w:rsidRDefault="008A0952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964B3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481B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4464A1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A70B4B" w:rsidTr="00CD23E8"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8A0952" w:rsidRPr="00A70B4B" w:rsidRDefault="008A0952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24394,2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>
            <w:r w:rsidRPr="003059E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5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14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880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966" w:type="dxa"/>
          </w:tcPr>
          <w:p w:rsidR="008A0952" w:rsidRDefault="008A0952" w:rsidP="00CD23E8">
            <w:r w:rsidRPr="00053555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EC68B8" w:rsidRPr="00A70B4B" w:rsidTr="00CD23E8">
        <w:trPr>
          <w:trHeight w:val="1380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CD23E8">
        <w:trPr>
          <w:trHeight w:val="1457"/>
        </w:trPr>
        <w:tc>
          <w:tcPr>
            <w:tcW w:w="1970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21794,2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Default="00EC68B8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Default="00EC68B8">
            <w:r w:rsidRPr="00382921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Администрация Кагальницкого </w:t>
            </w:r>
            <w:r w:rsidRPr="008A095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A70B4B" w:rsidRDefault="003001BF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2F63B9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74E3D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Администрация Кагальницкого </w:t>
            </w:r>
            <w:r w:rsidRPr="008A095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3001BF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3001BF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24394,2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D54A0A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3001BF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F" w:rsidRPr="008A0952" w:rsidRDefault="003001BF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Pr="008A0952" w:rsidRDefault="003001BF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BF" w:rsidRDefault="003001BF"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2033,5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3001BF" w:rsidRDefault="006C000A" w:rsidP="006C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</w:p>
          <w:p w:rsidR="006C000A" w:rsidRPr="008C31D4" w:rsidRDefault="006C000A" w:rsidP="006C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Кагальницкого сельского поселения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D8098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8B8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7D" w:rsidRDefault="00C1557D" w:rsidP="00B60207">
      <w:pPr>
        <w:spacing w:after="0" w:line="240" w:lineRule="auto"/>
      </w:pPr>
      <w:r>
        <w:separator/>
      </w:r>
    </w:p>
  </w:endnote>
  <w:endnote w:type="continuationSeparator" w:id="0">
    <w:p w:rsidR="00C1557D" w:rsidRDefault="00C1557D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7D" w:rsidRDefault="00C1557D" w:rsidP="00B60207">
      <w:pPr>
        <w:spacing w:after="0" w:line="240" w:lineRule="auto"/>
      </w:pPr>
      <w:r>
        <w:separator/>
      </w:r>
    </w:p>
  </w:footnote>
  <w:footnote w:type="continuationSeparator" w:id="0">
    <w:p w:rsidR="00C1557D" w:rsidRDefault="00C1557D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B418C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3530"/>
    <w:rsid w:val="00825A6A"/>
    <w:rsid w:val="00832D92"/>
    <w:rsid w:val="0084425F"/>
    <w:rsid w:val="00852BCF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80C73"/>
    <w:rsid w:val="00F8391E"/>
    <w:rsid w:val="00F8719F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64EB-4647-4ABE-8AF9-6EFCF1A8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36</cp:revision>
  <cp:lastPrinted>2018-12-21T08:10:00Z</cp:lastPrinted>
  <dcterms:created xsi:type="dcterms:W3CDTF">2018-11-16T07:26:00Z</dcterms:created>
  <dcterms:modified xsi:type="dcterms:W3CDTF">2018-12-21T08:16:00Z</dcterms:modified>
</cp:coreProperties>
</file>