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10.07.2023 г.                                       № 80   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B000000">
      <w:pPr>
        <w:spacing w:line="216" w:lineRule="auto"/>
        <w:ind w:firstLine="720" w:left="0"/>
        <w:jc w:val="both"/>
      </w:pPr>
    </w:p>
    <w:p w14:paraId="0C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</w:t>
      </w:r>
    </w:p>
    <w:p w14:paraId="0D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БЮДЖЕТА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КАГАЛЬНИЦКОГО </w:t>
      </w:r>
    </w:p>
    <w:p w14:paraId="0E000000">
      <w:pPr>
        <w:widowControl w:val="1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F000000">
      <w:pPr>
        <w:widowControl w:val="1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АЗОВСКОГО РАЙОНА </w:t>
      </w:r>
    </w:p>
    <w:p w14:paraId="10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 I ПОЛУГОДИЕ 2023 ГОДА</w:t>
      </w:r>
    </w:p>
    <w:p w14:paraId="11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3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14000000">
      <w:pPr>
        <w:pStyle w:val="Style_1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00000">
      <w:pPr>
        <w:pStyle w:val="Style_1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 по доходам в сумме </w:t>
      </w:r>
      <w:r>
        <w:rPr>
          <w:rFonts w:ascii="Times New Roman" w:hAnsi="Times New Roman"/>
          <w:sz w:val="28"/>
        </w:rPr>
        <w:t>11 764,2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11 001,5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762,7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6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7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года согласно приложению 1 к настоящему постановлению, сведения </w:t>
      </w:r>
      <w:r>
        <w:rPr>
          <w:rStyle w:val="Style_1_ch"/>
          <w:rFonts w:ascii="Times New Roman" w:hAnsi="Times New Roman"/>
          <w:sz w:val="28"/>
        </w:rPr>
        <w:t xml:space="preserve">о численности муниципальных служащих, технического и обслуживающего персонала Администрации </w:t>
      </w:r>
      <w:r>
        <w:rPr>
          <w:rStyle w:val="Style_1_ch"/>
          <w:rFonts w:ascii="Times New Roman" w:hAnsi="Times New Roman"/>
          <w:sz w:val="28"/>
        </w:rPr>
        <w:t>Кагальницкого</w:t>
      </w:r>
      <w:r>
        <w:rPr>
          <w:rStyle w:val="Style_1_ch"/>
          <w:rFonts w:ascii="Times New Roman" w:hAnsi="Times New Roman"/>
          <w:sz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</w:t>
      </w:r>
      <w:r>
        <w:rPr>
          <w:rStyle w:val="Style_1_ch"/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8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9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1A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1B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C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D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 постановлению </w:t>
      </w:r>
    </w:p>
    <w:p w14:paraId="1E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F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Азовского района от </w:t>
      </w:r>
      <w:r>
        <w:rPr>
          <w:rFonts w:ascii="Times New Roman" w:hAnsi="Times New Roman"/>
          <w:sz w:val="24"/>
        </w:rPr>
        <w:t>10.07</w:t>
      </w:r>
      <w:r>
        <w:rPr>
          <w:rFonts w:ascii="Times New Roman" w:hAnsi="Times New Roman"/>
          <w:sz w:val="24"/>
        </w:rPr>
        <w:t>.2023 г. №</w:t>
      </w:r>
      <w:r>
        <w:rPr>
          <w:rFonts w:ascii="Times New Roman" w:hAnsi="Times New Roman"/>
          <w:sz w:val="24"/>
        </w:rPr>
        <w:t xml:space="preserve"> 80</w:t>
      </w:r>
      <w:r>
        <w:rPr>
          <w:rStyle w:val="Style_1_ch"/>
          <w:rFonts w:ascii="Times New Roman" w:hAnsi="Times New Roman"/>
          <w:sz w:val="24"/>
        </w:rPr>
        <w:t xml:space="preserve"> «ОБ ИСПОЛНЕНИИ БЮДЖЕТА </w:t>
      </w:r>
    </w:p>
    <w:p w14:paraId="20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2100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АЗОВСКОГО РАЙОНА ЗА </w:t>
      </w:r>
      <w:r>
        <w:rPr>
          <w:rFonts w:ascii="Times New Roman" w:hAnsi="Times New Roman"/>
          <w:b w:val="0"/>
          <w:sz w:val="28"/>
        </w:rPr>
        <w:t>I</w:t>
      </w:r>
      <w:r>
        <w:rPr>
          <w:rStyle w:val="Style_1_ch"/>
          <w:rFonts w:ascii="Times New Roman" w:hAnsi="Times New Roman"/>
          <w:b w:val="0"/>
          <w:sz w:val="24"/>
        </w:rPr>
        <w:t xml:space="preserve"> ПОЛУГОДИЕ</w:t>
      </w:r>
      <w:r>
        <w:rPr>
          <w:rStyle w:val="Style_1_ch"/>
          <w:rFonts w:ascii="Times New Roman" w:hAnsi="Times New Roman"/>
          <w:b w:val="0"/>
          <w:sz w:val="24"/>
        </w:rPr>
        <w:t xml:space="preserve"> 2023 ГОДА»</w:t>
      </w:r>
    </w:p>
    <w:p w14:paraId="22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300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 xml:space="preserve">2023 года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 </w:t>
      </w:r>
      <w:r>
        <w:rPr>
          <w:rFonts w:ascii="Times New Roman" w:hAnsi="Times New Roman"/>
          <w:color w:themeColor="text1" w:val="000000"/>
          <w:sz w:val="28"/>
        </w:rPr>
        <w:t>11 764,2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50,0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11 001,5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 xml:space="preserve">44,2 </w:t>
      </w:r>
      <w:r>
        <w:rPr>
          <w:rFonts w:ascii="Times New Roman" w:hAnsi="Times New Roman"/>
          <w:sz w:val="28"/>
        </w:rPr>
        <w:t xml:space="preserve"> процента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</w:t>
      </w:r>
      <w:r>
        <w:rPr>
          <w:rFonts w:ascii="Times New Roman" w:hAnsi="Times New Roman"/>
          <w:sz w:val="28"/>
        </w:rPr>
        <w:t xml:space="preserve">2023 года составил </w:t>
      </w:r>
      <w:r>
        <w:rPr>
          <w:rFonts w:ascii="Times New Roman" w:hAnsi="Times New Roman"/>
          <w:sz w:val="28"/>
        </w:rPr>
        <w:t>762,7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</w:t>
      </w:r>
      <w:r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280,8</w:t>
      </w:r>
      <w:r>
        <w:rPr>
          <w:rFonts w:ascii="Times New Roman" w:hAnsi="Times New Roman"/>
          <w:sz w:val="28"/>
        </w:rPr>
        <w:t xml:space="preserve"> тысяч рублей или на </w:t>
      </w:r>
      <w:r>
        <w:rPr>
          <w:rFonts w:ascii="Times New Roman" w:hAnsi="Times New Roman"/>
          <w:sz w:val="28"/>
        </w:rPr>
        <w:t>2,4</w:t>
      </w:r>
      <w:r>
        <w:rPr>
          <w:rFonts w:ascii="Times New Roman" w:hAnsi="Times New Roman"/>
          <w:sz w:val="28"/>
        </w:rPr>
        <w:t xml:space="preserve"> процента.</w:t>
      </w:r>
    </w:p>
    <w:p w14:paraId="29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>2023 года прилагаются.</w:t>
      </w:r>
    </w:p>
    <w:p w14:paraId="2A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4 677,0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35,6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</w:t>
      </w:r>
      <w:r>
        <w:rPr>
          <w:rFonts w:ascii="Times New Roman" w:hAnsi="Times New Roman"/>
          <w:sz w:val="28"/>
        </w:rPr>
        <w:t xml:space="preserve">2023                                                                                                                            года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</w:t>
      </w:r>
      <w:r>
        <w:rPr>
          <w:rFonts w:ascii="Times New Roman" w:hAnsi="Times New Roman"/>
          <w:sz w:val="28"/>
        </w:rPr>
        <w:t>133,7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по единому сельскохозяйственному налогу – </w:t>
      </w:r>
      <w:r>
        <w:rPr>
          <w:rFonts w:ascii="Times New Roman" w:hAnsi="Times New Roman"/>
          <w:sz w:val="28"/>
        </w:rPr>
        <w:t>128,8</w:t>
      </w:r>
      <w:r>
        <w:rPr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z w:val="28"/>
        </w:rPr>
        <w:t xml:space="preserve"> от продажи материальных и нематериальных активов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4,9 тысяч рублей.</w:t>
      </w:r>
    </w:p>
    <w:p w14:paraId="2B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8 590,4</w:t>
      </w:r>
      <w:r>
        <w:rPr>
          <w:rFonts w:ascii="Times New Roman" w:hAnsi="Times New Roman"/>
          <w:sz w:val="28"/>
        </w:rPr>
        <w:t xml:space="preserve"> тысяч рублей, из них: по налогу на доходы физических лиц – </w:t>
      </w:r>
      <w:r>
        <w:rPr>
          <w:rFonts w:ascii="Times New Roman" w:hAnsi="Times New Roman"/>
          <w:sz w:val="28"/>
        </w:rPr>
        <w:t>2 305,1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-</w:t>
      </w:r>
      <w:r>
        <w:rPr>
          <w:rFonts w:ascii="Times New Roman" w:hAnsi="Times New Roman"/>
          <w:sz w:val="28"/>
        </w:rPr>
        <w:t>1 157,9</w:t>
      </w:r>
      <w:r>
        <w:rPr>
          <w:rFonts w:ascii="Times New Roman" w:hAnsi="Times New Roman"/>
          <w:sz w:val="28"/>
        </w:rPr>
        <w:t xml:space="preserve"> тысяч рублей,</w:t>
      </w:r>
      <w:r>
        <w:rPr>
          <w:rFonts w:ascii="Times New Roman" w:hAnsi="Times New Roman"/>
          <w:sz w:val="28"/>
        </w:rPr>
        <w:t xml:space="preserve"> по земельному налогу юридических лиц – </w:t>
      </w:r>
      <w:r>
        <w:rPr>
          <w:rFonts w:ascii="Times New Roman" w:hAnsi="Times New Roman"/>
          <w:sz w:val="28"/>
        </w:rPr>
        <w:t>511,9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4 395,8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рублей,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</w:t>
      </w:r>
      <w:r>
        <w:rPr>
          <w:rFonts w:ascii="Times New Roman" w:hAnsi="Times New Roman"/>
          <w:sz w:val="28"/>
        </w:rPr>
        <w:t xml:space="preserve">20,8 </w:t>
      </w:r>
      <w:r>
        <w:rPr>
          <w:rFonts w:ascii="Times New Roman" w:hAnsi="Times New Roman"/>
          <w:sz w:val="28"/>
        </w:rPr>
        <w:t xml:space="preserve"> тысяч рублей, по доходам от сдачи в аренду имущества –</w:t>
      </w:r>
      <w:r>
        <w:rPr>
          <w:rFonts w:ascii="Times New Roman" w:hAnsi="Times New Roman"/>
          <w:sz w:val="28"/>
        </w:rPr>
        <w:t>150,1</w:t>
      </w:r>
      <w:r>
        <w:rPr>
          <w:rFonts w:ascii="Times New Roman" w:hAnsi="Times New Roman"/>
          <w:sz w:val="28"/>
        </w:rPr>
        <w:t xml:space="preserve"> тысяч рублей и по доходам от сдачи в аренду земли- 48,8 тысяч рублей. </w:t>
      </w:r>
    </w:p>
    <w:p w14:paraId="2C000000">
      <w:pPr>
        <w:pStyle w:val="Style_1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r>
        <w:rPr>
          <w:rFonts w:ascii="Times New Roman" w:hAnsi="Times New Roman"/>
          <w:sz w:val="28"/>
        </w:rPr>
        <w:t>2023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7 087,2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направлено 9 434,4 тыс. рублей, что составляет 44,4 процента к годовым плановым назначениям или 85,8 процентов всех расходов бюджета поселения.</w:t>
      </w:r>
    </w:p>
    <w:p w14:paraId="2E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1_ch"/>
          <w:rFonts w:ascii="Times New Roman" w:hAnsi="Times New Roman"/>
          <w:color w:val="000000"/>
          <w:sz w:val="28"/>
        </w:rPr>
        <w:t>Просроченная кредиторская задолженность бюджета поселения за I полугодие 2023 года, в том числе по долговым обязательствам, отсутствует.</w:t>
      </w:r>
    </w:p>
    <w:p w14:paraId="2F000000">
      <w:pPr>
        <w:pStyle w:val="Style_1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итогам </w:t>
      </w:r>
      <w:r>
        <w:rPr>
          <w:rStyle w:val="Style_1_ch"/>
          <w:rFonts w:ascii="Times New Roman" w:hAnsi="Times New Roman"/>
          <w:color w:val="000000"/>
          <w:sz w:val="28"/>
        </w:rPr>
        <w:t>I полугодия 2023 года</w:t>
      </w:r>
      <w:r>
        <w:rPr>
          <w:rFonts w:ascii="Times New Roman" w:hAnsi="Times New Roman"/>
          <w:color w:val="000000"/>
          <w:sz w:val="28"/>
        </w:rPr>
        <w:t xml:space="preserve"> года муниципальный долг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отсутствует.</w:t>
      </w:r>
    </w:p>
    <w:p w14:paraId="30000000">
      <w:pPr>
        <w:pStyle w:val="Style_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финансирование общегосударственных вопросов направлено 5 013,9  тыс. рублей, что составляет 41,1 процент к годовым плановым назначениям; </w:t>
      </w:r>
      <w:r>
        <w:rPr>
          <w:rFonts w:ascii="Times New Roman" w:hAnsi="Times New Roman"/>
          <w:color w:val="000000"/>
          <w:sz w:val="28"/>
        </w:rPr>
        <w:t>мероприятий по национальной обороне – 231,1 тыс. рублей или 39,3 процентов к годовым планам; жилищно-коммунального хозяйства – 4 542,0 тыс. руб., исполнение расходов по данному направлению к годовым назначениям составило 48,5 процентов.  На финансирование культуры и кинематографии направлено 992,9 тыс</w:t>
      </w:r>
      <w:r>
        <w:rPr>
          <w:rFonts w:ascii="Times New Roman" w:hAnsi="Times New Roman"/>
          <w:color w:val="000000"/>
          <w:sz w:val="28"/>
        </w:rPr>
        <w:t>.р</w:t>
      </w:r>
      <w:r>
        <w:rPr>
          <w:rFonts w:ascii="Times New Roman" w:hAnsi="Times New Roman"/>
          <w:color w:val="000000"/>
          <w:sz w:val="28"/>
        </w:rPr>
        <w:t xml:space="preserve">уб., что составляет 50,0 процентов к годовым плановым назначениям. На мероприятия в области социального обеспечения направлено 221,6 тыс. рублей, что составляет 50,0 процентов к годовым плановым назначениям.               </w:t>
      </w:r>
    </w:p>
    <w:p w14:paraId="31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2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4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</w:p>
    <w:p w14:paraId="35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600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ind w:firstLine="567" w:left="0"/>
        <w:rPr>
          <w:sz w:val="28"/>
        </w:rPr>
      </w:pPr>
    </w:p>
    <w:p w14:paraId="3A000000">
      <w:pPr>
        <w:ind w:firstLine="567" w:left="0"/>
        <w:rPr>
          <w:sz w:val="28"/>
        </w:rPr>
      </w:pPr>
    </w:p>
    <w:p w14:paraId="3B000000">
      <w:pPr>
        <w:sectPr>
          <w:pgSz w:h="16838" w:orient="portrait" w:w="11906"/>
          <w:pgMar w:bottom="1134" w:footer="708" w:gutter="0" w:header="708" w:left="1418" w:right="851" w:top="709"/>
        </w:sectPr>
      </w:pPr>
    </w:p>
    <w:p w14:paraId="3C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сведениям о ходе исполнения бюджета </w:t>
      </w:r>
    </w:p>
    <w:p w14:paraId="3D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Азовского района </w:t>
      </w:r>
      <w:r>
        <w:rPr>
          <w:rStyle w:val="Style_1_ch"/>
          <w:rFonts w:ascii="Times New Roman" w:hAnsi="Times New Roman"/>
          <w:sz w:val="24"/>
        </w:rPr>
        <w:t xml:space="preserve">за </w:t>
      </w:r>
      <w:r>
        <w:rPr>
          <w:rStyle w:val="Style_1_ch"/>
          <w:rFonts w:ascii="Times New Roman" w:hAnsi="Times New Roman"/>
          <w:sz w:val="24"/>
        </w:rPr>
        <w:t>I полугодие 2023 года</w:t>
      </w:r>
      <w:r>
        <w:rPr>
          <w:rStyle w:val="Style_1_ch"/>
          <w:rFonts w:ascii="Times New Roman" w:hAnsi="Times New Roman"/>
          <w:sz w:val="24"/>
        </w:rPr>
        <w:t xml:space="preserve"> </w:t>
      </w:r>
    </w:p>
    <w:p w14:paraId="3E000000">
      <w:pPr>
        <w:pStyle w:val="Style_1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</w:p>
    <w:p w14:paraId="3F000000">
      <w:pPr>
        <w:pStyle w:val="Style_1"/>
        <w:widowControl w:val="1"/>
        <w:ind w:firstLine="567" w:left="0"/>
        <w:jc w:val="center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8"/>
        </w:rPr>
        <w:t>ПОКАЗАТЕЛИ</w:t>
      </w:r>
    </w:p>
    <w:p w14:paraId="40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КАГАЛЬНИЦКОГО СЕЛЬСКОГО ПОСЕЛЕНИЯ АЗОВСКОГО РАЙОНА ЗА </w:t>
      </w:r>
      <w:r>
        <w:rPr>
          <w:rFonts w:ascii="Times New Roman" w:hAnsi="Times New Roman"/>
          <w:sz w:val="28"/>
        </w:rPr>
        <w:t>1 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41000000">
      <w:pPr>
        <w:pStyle w:val="Style_1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3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firstLine="567" w:left="0"/>
              <w:jc w:val="center"/>
              <w:rPr>
                <w:b w:val="1"/>
              </w:rPr>
            </w:pPr>
          </w:p>
          <w:p w14:paraId="43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b w:val="1"/>
              </w:rPr>
            </w:pPr>
          </w:p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</w:pPr>
            <w:r>
              <w:rPr>
                <w:sz w:val="22"/>
              </w:rPr>
              <w:t>13 133,8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</w:pPr>
            <w:r>
              <w:rPr>
                <w:sz w:val="22"/>
              </w:rPr>
              <w:t>4 677,0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rPr>
                <w:sz w:val="22"/>
              </w:rPr>
              <w:t>2 011,1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rPr>
                <w:sz w:val="22"/>
              </w:rPr>
              <w:t>2 011,1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4 316,2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rPr>
                <w:sz w:val="22"/>
              </w:rPr>
              <w:t>1 979,2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,8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1 01 02030 01 0000 110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jc w:val="center"/>
            </w:pPr>
            <w:r>
              <w:rPr>
                <w:sz w:val="22"/>
              </w:rPr>
              <w:t>21,1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rPr>
                <w:sz w:val="22"/>
              </w:rPr>
              <w:t>769,8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rPr>
                <w:sz w:val="22"/>
              </w:rPr>
              <w:t>898,6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7 662,7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rPr>
                <w:sz w:val="22"/>
              </w:rPr>
              <w:t>1 597,</w:t>
            </w:r>
            <w:r>
              <w:rPr>
                <w:sz w:val="22"/>
              </w:rPr>
              <w:t>0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jc w:val="center"/>
            </w:pPr>
            <w:r>
              <w:rPr>
                <w:sz w:val="22"/>
              </w:rPr>
              <w:t>29,6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1 06 01030 10 0000 110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22"/>
              </w:rPr>
              <w:t>1 187,5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rPr>
                <w:sz w:val="22"/>
              </w:rPr>
              <w:t>29,6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6 475,2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rPr>
                <w:sz w:val="22"/>
              </w:rPr>
              <w:t>1 567,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rPr>
                <w:sz w:val="22"/>
              </w:rPr>
              <w:t>1 422,1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jc w:val="center"/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rPr>
                <w:sz w:val="22"/>
              </w:rPr>
              <w:t>1 422,1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rPr>
                <w:sz w:val="22"/>
              </w:rPr>
              <w:t>145,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1 06 06043 10 0000 110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4 541,2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rPr>
                <w:sz w:val="22"/>
              </w:rPr>
              <w:t>145,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1 08 04020 01 0000 110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rPr>
                <w:sz w:val="22"/>
              </w:rPr>
              <w:t>47,6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26,8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rPr>
                <w:sz w:val="22"/>
              </w:rPr>
              <w:t>337,5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1 11 05025 10 0000 120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rPr>
                <w:sz w:val="22"/>
              </w:rPr>
              <w:t>48,8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 w:firstLine="567" w:left="0"/>
              <w:jc w:val="center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1 11 05035 10 0000 120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rPr>
                <w:sz w:val="22"/>
              </w:rPr>
              <w:t>288,7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rPr>
                <w:sz w:val="22"/>
              </w:rPr>
              <w:t>138,6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02053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4,9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rPr>
                <w:sz w:val="22"/>
              </w:rPr>
              <w:t>7 087,2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rPr>
                <w:sz w:val="22"/>
              </w:rPr>
              <w:t>10 397,1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rPr>
                <w:sz w:val="22"/>
              </w:rPr>
              <w:t>7 087,2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rPr>
                <w:sz w:val="22"/>
              </w:rPr>
              <w:t>6 855,9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rPr>
                <w:sz w:val="22"/>
              </w:rPr>
              <w:t>6 830,1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9 757,2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rPr>
                <w:sz w:val="22"/>
              </w:rPr>
              <w:t>6 830,1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25,8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rPr>
                <w:sz w:val="22"/>
              </w:rPr>
              <w:t>51,7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rPr>
                <w:sz w:val="22"/>
              </w:rPr>
              <w:t>25,8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rPr>
                <w:sz w:val="22"/>
              </w:rPr>
              <w:t>588,2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rPr>
                <w:sz w:val="22"/>
              </w:rPr>
              <w:t>231,3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 w:firstLine="567" w:left="0"/>
              <w:jc w:val="center"/>
            </w:pPr>
            <w:r>
              <w:rPr>
                <w:sz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 w:firstLine="567" w:left="0"/>
              <w:jc w:val="center"/>
            </w:pPr>
            <w:r>
              <w:t xml:space="preserve">Субвенции бюджетам сельских поселений на 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23 530,9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11 764,2</w:t>
            </w:r>
          </w:p>
        </w:tc>
      </w:tr>
    </w:tbl>
    <w:p w14:paraId="F000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F1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F2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F3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3"/>
        <w:tblInd w:type="dxa" w:w="-601"/>
        <w:tblLayout w:type="fixed"/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F7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F8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24 903,1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11 001,5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/>
              <w:jc w:val="center"/>
            </w:pPr>
            <w:r>
              <w:rPr>
                <w:sz w:val="22"/>
              </w:rPr>
              <w:t>12 191,9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/>
              <w:jc w:val="center"/>
            </w:pPr>
            <w:r>
              <w:rPr>
                <w:sz w:val="22"/>
              </w:rPr>
              <w:t>5 013,9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/>
              <w:jc w:val="center"/>
            </w:pPr>
            <w:r>
              <w:rPr>
                <w:sz w:val="22"/>
              </w:rPr>
              <w:t>10 524,2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/>
              <w:jc w:val="center"/>
            </w:pPr>
            <w:r>
              <w:rPr>
                <w:sz w:val="22"/>
              </w:rPr>
              <w:t>4 772,2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/>
              <w:jc w:val="center"/>
            </w:pPr>
            <w:r>
              <w:rPr>
                <w:sz w:val="22"/>
              </w:rPr>
              <w:t>148,1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/>
              <w:jc w:val="center"/>
            </w:pPr>
            <w:r>
              <w:rPr>
                <w:sz w:val="22"/>
              </w:rPr>
              <w:t>74,0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/>
              <w:jc w:val="center"/>
            </w:pPr>
            <w:r>
              <w:rPr>
                <w:sz w:val="22"/>
              </w:rPr>
              <w:t>1 019,6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/>
              <w:jc w:val="center"/>
            </w:pPr>
            <w:r>
              <w:rPr>
                <w:sz w:val="22"/>
              </w:rPr>
              <w:t>167,7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/>
              <w:jc w:val="center"/>
            </w:pPr>
            <w:r>
              <w:rPr>
                <w:sz w:val="22"/>
              </w:rPr>
              <w:t>588,0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/>
              <w:jc w:val="center"/>
            </w:pPr>
            <w:r>
              <w:rPr>
                <w:sz w:val="22"/>
              </w:rPr>
              <w:t>231,1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ind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/>
              <w:jc w:val="center"/>
            </w:pPr>
            <w:r>
              <w:rPr>
                <w:sz w:val="22"/>
              </w:rPr>
              <w:t>260,0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/>
              <w:jc w:val="center"/>
            </w:pPr>
            <w: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D010000">
            <w:pPr>
              <w:ind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 w:firstLine="33" w:left="0"/>
              <w:jc w:val="center"/>
            </w:pPr>
            <w:r>
              <w:rPr>
                <w:rStyle w:val="Style_4_ch"/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10000">
            <w:pPr>
              <w:ind/>
              <w:jc w:val="center"/>
            </w:pPr>
            <w:r>
              <w:rPr>
                <w:sz w:val="22"/>
              </w:rPr>
              <w:t>9 364,1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10000">
            <w:pPr>
              <w:ind/>
              <w:jc w:val="center"/>
            </w:pPr>
            <w:r>
              <w:rPr>
                <w:sz w:val="22"/>
              </w:rPr>
              <w:t>4 542,0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10000">
            <w:pPr>
              <w:ind w:firstLine="33" w:left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/>
              <w:jc w:val="center"/>
            </w:pPr>
            <w:r>
              <w:rPr>
                <w:sz w:val="22"/>
              </w:rPr>
              <w:t>218,6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10000">
            <w:pPr>
              <w:ind/>
              <w:jc w:val="center"/>
            </w:pPr>
            <w:r>
              <w:rPr>
                <w:sz w:val="22"/>
              </w:rPr>
              <w:t>178,4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10000">
            <w:pPr>
              <w:ind/>
              <w:jc w:val="center"/>
            </w:pPr>
            <w:r>
              <w:rPr>
                <w:sz w:val="22"/>
              </w:rPr>
              <w:t>9 139,0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10000">
            <w:pPr>
              <w:ind/>
              <w:jc w:val="center"/>
            </w:pPr>
            <w:r>
              <w:rPr>
                <w:sz w:val="22"/>
              </w:rPr>
              <w:t>4 363,6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/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/>
              <w:jc w:val="center"/>
            </w:pPr>
            <w:r>
              <w:rPr>
                <w:sz w:val="22"/>
              </w:rPr>
              <w:t>992,9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/>
              <w:jc w:val="center"/>
            </w:pPr>
            <w:r>
              <w:rPr>
                <w:sz w:val="22"/>
              </w:rPr>
              <w:t>1 985,8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/>
              <w:jc w:val="center"/>
            </w:pPr>
            <w:r>
              <w:rPr>
                <w:sz w:val="22"/>
              </w:rPr>
              <w:t>992,9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/>
              <w:jc w:val="center"/>
            </w:pPr>
            <w:r>
              <w:rPr>
                <w:sz w:val="22"/>
              </w:rPr>
              <w:t>221,6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10000">
            <w:pPr>
              <w:ind/>
              <w:jc w:val="center"/>
            </w:pPr>
            <w:r>
              <w:rPr>
                <w:sz w:val="22"/>
              </w:rPr>
              <w:t>443,3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10000">
            <w:pPr>
              <w:ind/>
              <w:jc w:val="center"/>
            </w:pPr>
            <w:r>
              <w:rPr>
                <w:sz w:val="22"/>
              </w:rPr>
              <w:t>221,6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4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5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A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01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D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E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F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-1 372,2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10000">
            <w:pPr>
              <w:ind w:firstLine="33" w:left="0"/>
              <w:jc w:val="center"/>
              <w:rPr>
                <w:b w:val="1"/>
              </w:rPr>
            </w:pPr>
            <w:r>
              <w:rPr>
                <w:rStyle w:val="Style_5_ch"/>
                <w:b w:val="1"/>
                <w:sz w:val="22"/>
              </w:rPr>
              <w:t>762,7</w:t>
            </w:r>
          </w:p>
        </w:tc>
      </w:tr>
    </w:tbl>
    <w:p w14:paraId="73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4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5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6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7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8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9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A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</w:p>
    <w:p w14:paraId="7B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7C010000">
      <w:pPr>
        <w:pStyle w:val="Style_1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3"/>
        <w:tblInd w:type="dxa" w:w="-601"/>
        <w:tblLayout w:type="fixed"/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F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3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1 372,2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-762,7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6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1 372,2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-762,7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10000">
            <w:pPr>
              <w:ind/>
              <w:jc w:val="center"/>
            </w:pPr>
            <w:r>
              <w:rPr>
                <w:sz w:val="22"/>
              </w:rPr>
              <w:t>-23 530,9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10000">
            <w:pPr>
              <w:ind w:firstLine="34" w:left="0"/>
              <w:jc w:val="center"/>
            </w:pPr>
            <w:r>
              <w:rPr>
                <w:sz w:val="22"/>
              </w:rPr>
              <w:t>-12 296,9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10000">
            <w:pPr>
              <w:ind w:firstLine="34" w:left="0"/>
              <w:jc w:val="center"/>
            </w:pPr>
            <w:r>
              <w:rPr>
                <w:sz w:val="22"/>
              </w:rPr>
              <w:t>24 903,1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10000">
            <w:pPr>
              <w:ind w:firstLine="34" w:left="0"/>
              <w:jc w:val="center"/>
            </w:pPr>
            <w:r>
              <w:rPr>
                <w:sz w:val="22"/>
              </w:rPr>
              <w:t>11 534,2</w:t>
            </w:r>
          </w:p>
        </w:tc>
      </w:tr>
    </w:tbl>
    <w:p w14:paraId="91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2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3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4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5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6010000">
      <w:pPr>
        <w:pStyle w:val="Style_1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97010000">
      <w:pPr>
        <w:pStyle w:val="Style_1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9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9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9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8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A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1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2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3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4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5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6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7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8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9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A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B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C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D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BE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 постановлению </w:t>
      </w:r>
    </w:p>
    <w:p w14:paraId="BF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C0010000">
      <w:pPr>
        <w:pStyle w:val="Style_1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Азовского района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10.07</w:t>
      </w:r>
      <w:r>
        <w:rPr>
          <w:rFonts w:ascii="Times New Roman" w:hAnsi="Times New Roman"/>
          <w:sz w:val="24"/>
        </w:rPr>
        <w:t>.2023 г. №</w:t>
      </w:r>
      <w:r>
        <w:rPr>
          <w:rFonts w:ascii="Times New Roman" w:hAnsi="Times New Roman"/>
          <w:sz w:val="24"/>
        </w:rPr>
        <w:t xml:space="preserve"> 80</w:t>
      </w:r>
      <w:r>
        <w:rPr>
          <w:rStyle w:val="Style_1_ch"/>
          <w:rFonts w:ascii="Times New Roman" w:hAnsi="Times New Roman"/>
          <w:sz w:val="24"/>
        </w:rPr>
        <w:t xml:space="preserve"> «ОБ ИСПОЛНЕНИИ БЮДЖЕТА </w:t>
      </w:r>
    </w:p>
    <w:p w14:paraId="C1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 xml:space="preserve">КАГАЛЬНИЦКОГО СЕЛЬСКОГО ПОСЕЛЕНИЯ </w:t>
      </w:r>
    </w:p>
    <w:p w14:paraId="C2010000">
      <w:pPr>
        <w:pStyle w:val="Style_2"/>
        <w:widowControl w:val="1"/>
        <w:ind/>
        <w:jc w:val="right"/>
        <w:rPr>
          <w:rFonts w:ascii="Times New Roman" w:hAnsi="Times New Roman"/>
          <w:b w:val="0"/>
          <w:sz w:val="24"/>
        </w:rPr>
      </w:pPr>
      <w:r>
        <w:rPr>
          <w:rStyle w:val="Style_1_ch"/>
          <w:rFonts w:ascii="Times New Roman" w:hAnsi="Times New Roman"/>
          <w:b w:val="0"/>
          <w:sz w:val="24"/>
        </w:rPr>
        <w:t>АЗОВСКОГО РАЙОНА ЗА I ПОЛУГОДИЕ 2023 ГОДА»</w:t>
      </w:r>
    </w:p>
    <w:p w14:paraId="C3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4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5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6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7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C8010000">
      <w:pPr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C9010000">
      <w:pPr>
        <w:spacing w:before="1"/>
        <w:ind w:right="345"/>
        <w:jc w:val="center"/>
        <w:rPr>
          <w:b w:val="1"/>
          <w:sz w:val="28"/>
        </w:rPr>
      </w:pPr>
      <w:r>
        <w:rPr>
          <w:b w:val="1"/>
          <w:sz w:val="28"/>
        </w:rPr>
        <w:t>о численности муниципальных служащих</w:t>
      </w:r>
      <w:r>
        <w:rPr>
          <w:b w:val="1"/>
          <w:spacing w:val="-1"/>
          <w:sz w:val="28"/>
        </w:rPr>
        <w:t xml:space="preserve">, технического и обслуживающего персонала Администрации </w:t>
      </w:r>
      <w:r>
        <w:rPr>
          <w:b w:val="1"/>
          <w:spacing w:val="-1"/>
          <w:sz w:val="28"/>
        </w:rPr>
        <w:t>Кагальницкого</w:t>
      </w:r>
      <w:r>
        <w:rPr>
          <w:b w:val="1"/>
          <w:spacing w:val="-1"/>
          <w:sz w:val="28"/>
        </w:rPr>
        <w:t xml:space="preserve">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фактических 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</w:t>
      </w:r>
    </w:p>
    <w:p w14:paraId="CA010000">
      <w:pPr>
        <w:spacing w:before="1"/>
        <w:ind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I полугодие </w:t>
      </w:r>
      <w:r>
        <w:rPr>
          <w:b w:val="1"/>
          <w:sz w:val="28"/>
          <w:u w:val="single"/>
        </w:rPr>
        <w:t>2023 года</w:t>
      </w:r>
    </w:p>
    <w:p w14:paraId="CB010000">
      <w:pPr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CC010000">
      <w:pPr>
        <w:spacing w:before="1"/>
        <w:ind/>
        <w:rPr>
          <w:b w:val="1"/>
        </w:rPr>
      </w:pPr>
    </w:p>
    <w:tbl>
      <w:tblPr>
        <w:tblStyle w:val="Style_3"/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spacing w:before="96"/>
              <w:ind/>
              <w:jc w:val="center"/>
            </w:pPr>
            <w:r>
              <w:t>Категория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spacing w:before="96"/>
              <w:ind w:right="48"/>
              <w:jc w:val="center"/>
            </w:pPr>
            <w:r>
              <w:rPr>
                <w:spacing w:val="-1"/>
              </w:rPr>
              <w:t>Среднесписо</w:t>
            </w:r>
            <w:r>
              <w:rPr>
                <w:spacing w:val="-67"/>
              </w:rPr>
              <w:t xml:space="preserve"> </w:t>
            </w:r>
            <w:r>
              <w:t>чная</w:t>
            </w:r>
            <w:r>
              <w:rPr>
                <w:spacing w:val="-3"/>
              </w:rPr>
              <w:t xml:space="preserve"> </w:t>
            </w:r>
            <w:r>
              <w:t xml:space="preserve">численность </w:t>
            </w:r>
            <w:r>
              <w:t>работников</w:t>
            </w:r>
            <w:r>
              <w:t>,ч</w:t>
            </w:r>
            <w:r>
              <w:t>ел</w:t>
            </w:r>
            <w:r>
              <w:t>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spacing w:before="96"/>
              <w:ind w:hanging="186" w:left="186" w:right="111"/>
              <w:jc w:val="center"/>
            </w:pPr>
            <w:r>
              <w:t>Фактические расходы на</w:t>
            </w:r>
            <w:r>
              <w:rPr>
                <w:spacing w:val="-67"/>
              </w:rPr>
              <w:t xml:space="preserve"> </w:t>
            </w:r>
            <w:r>
              <w:t>заработную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  <w:p w14:paraId="D0010000">
            <w:pPr>
              <w:spacing w:before="96"/>
              <w:ind w:right="111"/>
              <w:jc w:val="center"/>
            </w:pPr>
            <w:r>
              <w:t>за</w:t>
            </w:r>
            <w:r>
              <w:rPr>
                <w:spacing w:val="-3"/>
              </w:rPr>
              <w:t xml:space="preserve"> </w:t>
            </w:r>
            <w:r>
              <w:t>отчетный</w:t>
            </w:r>
            <w:r>
              <w:rPr>
                <w:spacing w:val="-2"/>
              </w:rPr>
              <w:t xml:space="preserve"> </w:t>
            </w:r>
            <w:r>
              <w:t>период,</w:t>
            </w:r>
          </w:p>
          <w:p w14:paraId="D1010000">
            <w:pPr>
              <w:spacing w:before="96"/>
              <w:ind w:hanging="186" w:left="186" w:right="111"/>
              <w:jc w:val="center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rStyle w:val="Style_6_ch"/>
                <w:sz w:val="28"/>
              </w:rPr>
              <w:t xml:space="preserve">1. Работники органа местного самоуправления Администрации </w:t>
            </w:r>
            <w:r>
              <w:rPr>
                <w:rStyle w:val="Style_6_ch"/>
                <w:sz w:val="28"/>
              </w:rPr>
              <w:t>Кагальницкого</w:t>
            </w:r>
            <w:r>
              <w:rPr>
                <w:rStyle w:val="Style_6_ch"/>
                <w:sz w:val="28"/>
              </w:rPr>
              <w:t xml:space="preserve"> сельского поселения 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1 411,8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spacing w:before="96"/>
              <w:ind w:firstLine="283" w:left="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2 258,5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spacing w:before="93"/>
              <w:ind w:firstLine="283" w:left="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598,4</w:t>
            </w:r>
          </w:p>
        </w:tc>
      </w:tr>
    </w:tbl>
    <w:p w14:paraId="D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D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E1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2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E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E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E7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ConsPlusCell"/>
    <w:link w:val="Style_10_ch"/>
    <w:pPr>
      <w:widowControl w:val="0"/>
      <w:ind/>
    </w:pPr>
    <w:rPr>
      <w:rFonts w:ascii="Arial" w:hAnsi="Arial"/>
      <w:sz w:val="20"/>
    </w:rPr>
  </w:style>
  <w:style w:styleId="Style_10_ch" w:type="character">
    <w:name w:val="ConsPlusCell"/>
    <w:link w:val="Style_10"/>
    <w:rPr>
      <w:rFonts w:ascii="Arial" w:hAnsi="Arial"/>
      <w:sz w:val="20"/>
    </w:rPr>
  </w:style>
  <w:style w:styleId="Style_11" w:type="paragraph">
    <w:name w:val="toc 4"/>
    <w:next w:val="Style_7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"/>
    <w:basedOn w:val="Style_7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7_ch"/>
    <w:link w:val="Style_20"/>
  </w:style>
  <w:style w:styleId="Style_21" w:type="paragraph">
    <w:name w:val="Balloon Text"/>
    <w:basedOn w:val="Style_7"/>
    <w:link w:val="Style_21_ch"/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3"/>
    <w:next w:val="Style_7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footer"/>
    <w:basedOn w:val="Style_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7_ch"/>
    <w:link w:val="Style_26"/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No Spacing"/>
    <w:link w:val="Style_28_ch"/>
    <w:rPr>
      <w:rFonts w:ascii="Calibri" w:hAnsi="Calibri"/>
    </w:rPr>
  </w:style>
  <w:style w:styleId="Style_28_ch" w:type="character">
    <w:name w:val="No Spacing"/>
    <w:link w:val="Style_28"/>
    <w:rPr>
      <w:rFonts w:ascii="Calibri" w:hAnsi="Calibri"/>
    </w:rPr>
  </w:style>
  <w:style w:styleId="Style_29" w:type="paragraph">
    <w:name w:val="heading 1"/>
    <w:next w:val="Style_7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toc 1"/>
    <w:next w:val="Style_7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4" w:type="paragraph">
    <w:name w:val="Обычный1"/>
    <w:link w:val="Style_4_ch"/>
    <w:rPr>
      <w:sz w:val="24"/>
    </w:rPr>
  </w:style>
  <w:style w:styleId="Style_4_ch" w:type="character">
    <w:name w:val="Обычный1"/>
    <w:link w:val="Style_4"/>
    <w:rPr>
      <w:sz w:val="24"/>
    </w:rPr>
  </w:style>
  <w:style w:styleId="Style_35" w:type="paragraph">
    <w:name w:val="toc 9"/>
    <w:next w:val="Style_7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сновной шрифт абзаца4"/>
    <w:link w:val="Style_36_ch"/>
  </w:style>
  <w:style w:styleId="Style_36_ch" w:type="character">
    <w:name w:val="Основной шрифт абзаца4"/>
    <w:link w:val="Style_36"/>
  </w:style>
  <w:style w:styleId="Style_37" w:type="paragraph">
    <w:name w:val="toc 8"/>
    <w:next w:val="Style_7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38" w:type="paragraph">
    <w:name w:val="Гиперссылка3"/>
    <w:link w:val="Style_38_ch"/>
    <w:rPr>
      <w:color w:val="0000FF"/>
      <w:u w:val="single"/>
    </w:rPr>
  </w:style>
  <w:style w:styleId="Style_38_ch" w:type="character">
    <w:name w:val="Гиперссылка3"/>
    <w:link w:val="Style_38"/>
    <w:rPr>
      <w:color w:val="0000FF"/>
      <w:u w:val="single"/>
    </w:rPr>
  </w:style>
  <w:style w:styleId="Style_39" w:type="paragraph">
    <w:name w:val="toc 5"/>
    <w:next w:val="Style_7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40" w:type="paragraph">
    <w:name w:val="Subtitle"/>
    <w:next w:val="Style_7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Гиперссылка3"/>
    <w:link w:val="Style_42_ch"/>
    <w:rPr>
      <w:color w:val="0000FF"/>
      <w:u w:val="single"/>
    </w:rPr>
  </w:style>
  <w:style w:styleId="Style_42_ch" w:type="character">
    <w:name w:val="Гиперссылка3"/>
    <w:link w:val="Style_42"/>
    <w:rPr>
      <w:color w:val="0000FF"/>
      <w:u w:val="single"/>
    </w:rPr>
  </w:style>
  <w:style w:styleId="Style_43" w:type="paragraph">
    <w:name w:val="Title"/>
    <w:next w:val="Style_7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7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ConsPlusDocList"/>
    <w:link w:val="Style_45_ch"/>
    <w:pPr>
      <w:widowControl w:val="0"/>
      <w:ind/>
    </w:pPr>
    <w:rPr>
      <w:rFonts w:ascii="Courier New" w:hAnsi="Courier New"/>
      <w:sz w:val="20"/>
    </w:rPr>
  </w:style>
  <w:style w:styleId="Style_45_ch" w:type="character">
    <w:name w:val="ConsPlusDocList"/>
    <w:link w:val="Style_45"/>
    <w:rPr>
      <w:rFonts w:ascii="Courier New" w:hAnsi="Courier New"/>
      <w:sz w:val="20"/>
    </w:rPr>
  </w:style>
  <w:style w:styleId="Style_46" w:type="paragraph">
    <w:name w:val="heading 2"/>
    <w:next w:val="Style_7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table">
    <w:name w:val="Table Grid"/>
    <w:basedOn w:val="Style_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2023-07-24T10:58:27Z</dcterms:modified>
</cp:coreProperties>
</file>