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</w:p>
    <w:p w14:paraId="02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</w:t>
      </w:r>
    </w:p>
    <w:p w14:paraId="03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РОСТОВСКОЙ ОБЛАСТИ</w:t>
      </w:r>
    </w:p>
    <w:p w14:paraId="04000000">
      <w:pPr>
        <w:pStyle w:val="Style_1"/>
        <w:ind/>
        <w:jc w:val="center"/>
        <w:rPr>
          <w:b w:val="1"/>
          <w:sz w:val="28"/>
        </w:rPr>
      </w:pPr>
    </w:p>
    <w:p w14:paraId="05000000">
      <w:pPr>
        <w:pStyle w:val="Style_2"/>
        <w:ind/>
        <w:jc w:val="center"/>
        <w:rPr>
          <w:b w:val="1"/>
          <w:i w:val="0"/>
          <w:sz w:val="28"/>
        </w:rPr>
      </w:pPr>
      <w:r>
        <w:rPr>
          <w:b w:val="1"/>
          <w:i w:val="0"/>
          <w:sz w:val="28"/>
        </w:rPr>
        <w:t>ПОСТАНОВЛЕНИЕ</w:t>
      </w:r>
    </w:p>
    <w:p w14:paraId="06000000">
      <w:pPr>
        <w:pStyle w:val="Style_1"/>
      </w:pPr>
    </w:p>
    <w:p w14:paraId="07000000">
      <w:pPr>
        <w:pStyle w:val="Style_2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30.01.2023</w:t>
      </w:r>
      <w:r>
        <w:rPr>
          <w:rFonts w:ascii="Times New Roman" w:hAnsi="Times New Roman"/>
          <w:b w:val="0"/>
          <w:i w:val="0"/>
          <w:sz w:val="28"/>
        </w:rPr>
        <w:t xml:space="preserve"> г.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</w:t>
      </w:r>
      <w:r>
        <w:rPr>
          <w:rFonts w:ascii="Times New Roman" w:hAnsi="Times New Roman"/>
          <w:b w:val="0"/>
          <w:i w:val="0"/>
          <w:sz w:val="28"/>
        </w:rPr>
        <w:t>№</w:t>
      </w:r>
      <w:r>
        <w:rPr>
          <w:rFonts w:ascii="Times New Roman" w:hAnsi="Times New Roman"/>
          <w:b w:val="0"/>
          <w:i w:val="0"/>
          <w:sz w:val="28"/>
        </w:rPr>
        <w:t>5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</w:t>
      </w:r>
      <w:r>
        <w:rPr>
          <w:rFonts w:ascii="Times New Roman" w:hAnsi="Times New Roman"/>
          <w:b w:val="0"/>
          <w:i w:val="0"/>
          <w:sz w:val="28"/>
        </w:rPr>
        <w:t xml:space="preserve">       </w:t>
      </w:r>
      <w:r>
        <w:rPr>
          <w:rFonts w:ascii="Times New Roman" w:hAnsi="Times New Roman"/>
          <w:b w:val="0"/>
          <w:i w:val="0"/>
          <w:sz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</w:rPr>
        <w:t>с.Кагальник</w:t>
      </w:r>
    </w:p>
    <w:p w14:paraId="08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</w:p>
    <w:p w14:paraId="09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  <w:r>
        <w:rPr>
          <w:rFonts w:ascii="Times New Roman" w:hAnsi="Times New Roman"/>
          <w:sz w:val="28"/>
        </w:rPr>
        <w:t xml:space="preserve">БЮДЖЕТА </w:t>
      </w:r>
    </w:p>
    <w:p w14:paraId="0A000000">
      <w:pPr>
        <w:pStyle w:val="Style_3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КАГАЛЬНИЦКОГО </w:t>
      </w:r>
      <w:r>
        <w:rPr>
          <w:rFonts w:ascii="Times New Roman" w:hAnsi="Times New Roman"/>
          <w:sz w:val="28"/>
        </w:rPr>
        <w:t>СЕЛЬСКОГО ПОСЕЛЕНИЯ</w:t>
      </w:r>
    </w:p>
    <w:p w14:paraId="0B000000">
      <w:pPr>
        <w:pStyle w:val="Style_3"/>
        <w:widowControl w:val="1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2022 ГОД</w:t>
      </w:r>
    </w:p>
    <w:p w14:paraId="0C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0D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решения  Собрания депутатов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</w:t>
      </w:r>
      <w:r>
        <w:rPr>
          <w:rFonts w:ascii="Times New Roman" w:hAnsi="Times New Roman"/>
          <w:sz w:val="28"/>
        </w:rPr>
        <w:t xml:space="preserve"> от 14.12.2018г № 75 «О бюджетном процессе в </w:t>
      </w:r>
      <w:r>
        <w:rPr>
          <w:rFonts w:ascii="Times New Roman" w:hAnsi="Times New Roman"/>
          <w:sz w:val="28"/>
        </w:rPr>
        <w:t>Кагальницком</w:t>
      </w:r>
      <w:r>
        <w:rPr>
          <w:rFonts w:ascii="Times New Roman" w:hAnsi="Times New Roman"/>
          <w:sz w:val="28"/>
        </w:rPr>
        <w:t xml:space="preserve"> сельском поселении",</w:t>
      </w:r>
    </w:p>
    <w:p w14:paraId="0E000000">
      <w:pPr>
        <w:pStyle w:val="Style_4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4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000000">
      <w:pPr>
        <w:pStyle w:val="Style_4"/>
        <w:widowControl w:val="1"/>
        <w:ind w:firstLine="567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2022 год</w:t>
      </w:r>
      <w:r>
        <w:rPr>
          <w:rFonts w:ascii="Times New Roman" w:hAnsi="Times New Roman"/>
          <w:sz w:val="28"/>
        </w:rPr>
        <w:t xml:space="preserve"> по доходам в сумме </w:t>
      </w:r>
      <w:r>
        <w:rPr>
          <w:rFonts w:ascii="Times New Roman" w:hAnsi="Times New Roman"/>
          <w:sz w:val="28"/>
        </w:rPr>
        <w:t>35 623,5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>
        <w:rPr>
          <w:rFonts w:ascii="Times New Roman" w:hAnsi="Times New Roman"/>
          <w:sz w:val="28"/>
        </w:rPr>
        <w:t>29 695,7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>
        <w:rPr>
          <w:rFonts w:ascii="Times New Roman" w:hAnsi="Times New Roman"/>
          <w:sz w:val="28"/>
        </w:rPr>
        <w:t>5 927,8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14:paraId="11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2023 год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14:paraId="12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целях информирования населения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за </w:t>
      </w:r>
      <w:r>
        <w:rPr>
          <w:rFonts w:ascii="Times New Roman" w:hAnsi="Times New Roman"/>
          <w:sz w:val="28"/>
        </w:rPr>
        <w:t>2022 год</w:t>
      </w:r>
      <w:r>
        <w:rPr>
          <w:rFonts w:ascii="Times New Roman" w:hAnsi="Times New Roman"/>
          <w:sz w:val="28"/>
        </w:rPr>
        <w:t xml:space="preserve"> согласно приложению 1 к настоящему постановлению, </w:t>
      </w:r>
      <w:r>
        <w:rPr>
          <w:rFonts w:ascii="Times New Roman" w:hAnsi="Times New Roman"/>
          <w:sz w:val="28"/>
        </w:rPr>
        <w:t xml:space="preserve">сведения </w:t>
      </w:r>
      <w:r>
        <w:rPr>
          <w:rStyle w:val="Style_4_ch"/>
          <w:rFonts w:ascii="Times New Roman" w:hAnsi="Times New Roman"/>
          <w:sz w:val="28"/>
        </w:rPr>
        <w:t>о чи</w:t>
      </w:r>
      <w:r>
        <w:rPr>
          <w:rStyle w:val="Style_4_ch"/>
          <w:rFonts w:ascii="Times New Roman" w:hAnsi="Times New Roman"/>
          <w:sz w:val="28"/>
        </w:rPr>
        <w:t xml:space="preserve">сленности </w:t>
      </w:r>
      <w:r>
        <w:rPr>
          <w:rStyle w:val="Style_4_ch"/>
          <w:rFonts w:ascii="Times New Roman" w:hAnsi="Times New Roman"/>
          <w:sz w:val="28"/>
        </w:rPr>
        <w:t>муниципальных служащих</w:t>
      </w:r>
      <w:r>
        <w:rPr>
          <w:rStyle w:val="Style_4_ch"/>
          <w:rFonts w:ascii="Times New Roman" w:hAnsi="Times New Roman"/>
          <w:sz w:val="28"/>
        </w:rPr>
        <w:t xml:space="preserve">, технического </w:t>
      </w:r>
      <w:r>
        <w:rPr>
          <w:rStyle w:val="Style_4_ch"/>
          <w:rFonts w:ascii="Times New Roman" w:hAnsi="Times New Roman"/>
          <w:sz w:val="28"/>
        </w:rPr>
        <w:t xml:space="preserve">и обслуживающего персонала Администрации </w:t>
      </w:r>
      <w:r>
        <w:rPr>
          <w:rStyle w:val="Style_4_ch"/>
          <w:rFonts w:ascii="Times New Roman" w:hAnsi="Times New Roman"/>
          <w:sz w:val="28"/>
        </w:rPr>
        <w:t xml:space="preserve">Кагальницкого сельского поселения </w:t>
      </w:r>
      <w:r>
        <w:rPr>
          <w:rStyle w:val="Style_4_ch"/>
          <w:rFonts w:ascii="Times New Roman" w:hAnsi="Times New Roman"/>
          <w:sz w:val="28"/>
        </w:rPr>
        <w:t>и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фактических </w:t>
      </w:r>
      <w:r>
        <w:rPr>
          <w:rStyle w:val="Style_4_ch"/>
          <w:rFonts w:ascii="Times New Roman" w:hAnsi="Times New Roman"/>
          <w:sz w:val="28"/>
        </w:rPr>
        <w:t>затрат на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их денежное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 xml:space="preserve">содержание </w:t>
      </w:r>
      <w:r>
        <w:rPr>
          <w:rStyle w:val="Style_4_ch"/>
          <w:rFonts w:ascii="Times New Roman" w:hAnsi="Times New Roman"/>
          <w:sz w:val="28"/>
        </w:rPr>
        <w:t xml:space="preserve">за </w:t>
      </w:r>
      <w:r>
        <w:rPr>
          <w:rStyle w:val="Style_4_ch"/>
          <w:rFonts w:ascii="Times New Roman" w:hAnsi="Times New Roman"/>
          <w:sz w:val="28"/>
        </w:rPr>
        <w:t>20</w:t>
      </w:r>
      <w:r>
        <w:rPr>
          <w:rStyle w:val="Style_4_ch"/>
          <w:rFonts w:ascii="Times New Roman" w:hAnsi="Times New Roman"/>
          <w:sz w:val="28"/>
        </w:rPr>
        <w:t xml:space="preserve">22 </w:t>
      </w:r>
      <w:r>
        <w:rPr>
          <w:rStyle w:val="Style_4_ch"/>
          <w:rFonts w:ascii="Times New Roman" w:hAnsi="Times New Roman"/>
          <w:sz w:val="28"/>
        </w:rPr>
        <w:t>год с</w:t>
      </w:r>
      <w:r>
        <w:rPr>
          <w:rFonts w:ascii="Times New Roman" w:hAnsi="Times New Roman"/>
          <w:sz w:val="28"/>
        </w:rPr>
        <w:t>огласно приложению 2 к настоящему постановлению.</w:t>
      </w:r>
    </w:p>
    <w:p w14:paraId="13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Куцкевич</w:t>
      </w:r>
      <w:r>
        <w:rPr>
          <w:rFonts w:ascii="Times New Roman" w:hAnsi="Times New Roman"/>
          <w:sz w:val="28"/>
        </w:rPr>
        <w:t xml:space="preserve"> Е.И.</w:t>
      </w:r>
    </w:p>
    <w:p w14:paraId="14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14:paraId="17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8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</w:t>
      </w:r>
    </w:p>
    <w:p w14:paraId="19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0" w:left="0"/>
        <w:outlineLvl w:val="0"/>
        <w:rPr>
          <w:rFonts w:ascii="Times New Roman" w:hAnsi="Times New Roman"/>
          <w:sz w:val="28"/>
        </w:rPr>
      </w:pPr>
    </w:p>
    <w:p w14:paraId="1A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</w:p>
    <w:p w14:paraId="1B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8"/>
        </w:rPr>
      </w:pPr>
    </w:p>
    <w:p w14:paraId="1C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  <w:r>
        <w:rPr>
          <w:rFonts w:ascii="Times New Roman" w:hAnsi="Times New Roman"/>
          <w:sz w:val="24"/>
        </w:rPr>
        <w:t xml:space="preserve">к  постановлению Администрации </w:t>
      </w:r>
      <w:r>
        <w:rPr>
          <w:rFonts w:ascii="Times New Roman" w:hAnsi="Times New Roman"/>
          <w:sz w:val="24"/>
        </w:rPr>
        <w:t xml:space="preserve">Кагальницкого </w:t>
      </w:r>
      <w:r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 xml:space="preserve">Азовского района </w:t>
      </w:r>
      <w:r>
        <w:rPr>
          <w:rFonts w:ascii="Times New Roman" w:hAnsi="Times New Roman"/>
          <w:sz w:val="24"/>
        </w:rPr>
        <w:t xml:space="preserve">от 30.01.2023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color w:val="FF6600"/>
          <w:sz w:val="24"/>
        </w:rPr>
        <w:t xml:space="preserve"> </w:t>
      </w:r>
      <w:r>
        <w:rPr>
          <w:rFonts w:ascii="Times New Roman" w:hAnsi="Times New Roman"/>
          <w:sz w:val="24"/>
        </w:rPr>
        <w:t>№5</w:t>
      </w:r>
      <w:r>
        <w:rPr>
          <w:rStyle w:val="Style_4_ch"/>
          <w:rFonts w:ascii="Times New Roman" w:hAnsi="Times New Roman"/>
          <w:b w:val="0"/>
          <w:sz w:val="24"/>
        </w:rPr>
        <w:t xml:space="preserve"> «ОБ ИСПОЛНЕНИИ </w:t>
      </w:r>
      <w:r>
        <w:rPr>
          <w:rStyle w:val="Style_4_ch"/>
          <w:rFonts w:ascii="Times New Roman" w:hAnsi="Times New Roman"/>
          <w:b w:val="0"/>
          <w:sz w:val="24"/>
        </w:rPr>
        <w:t xml:space="preserve">БЮДЖЕТА </w:t>
      </w:r>
    </w:p>
    <w:p w14:paraId="1D000000">
      <w:pPr>
        <w:pStyle w:val="Style_3"/>
        <w:widowControl w:val="1"/>
        <w:ind w:firstLine="0" w:left="0"/>
        <w:jc w:val="right"/>
        <w:rPr>
          <w:rFonts w:ascii="Times New Roman" w:hAnsi="Times New Roman"/>
          <w:b w:val="0"/>
          <w:sz w:val="24"/>
        </w:rPr>
      </w:pPr>
      <w:r>
        <w:rPr>
          <w:rStyle w:val="Style_4_ch"/>
          <w:rFonts w:ascii="Times New Roman" w:hAnsi="Times New Roman"/>
          <w:b w:val="0"/>
          <w:sz w:val="24"/>
        </w:rPr>
        <w:t xml:space="preserve">КАГАЛЬНИЦКОГО </w:t>
      </w:r>
      <w:r>
        <w:rPr>
          <w:rStyle w:val="Style_4_ch"/>
          <w:rFonts w:ascii="Times New Roman" w:hAnsi="Times New Roman"/>
          <w:b w:val="0"/>
          <w:sz w:val="24"/>
        </w:rPr>
        <w:t xml:space="preserve">СЕЛЬСКОГО ПОСЕЛЕНИЯ </w:t>
      </w:r>
      <w:r>
        <w:rPr>
          <w:rStyle w:val="Style_4_ch"/>
          <w:rFonts w:ascii="Times New Roman" w:hAnsi="Times New Roman"/>
          <w:b w:val="0"/>
          <w:sz w:val="24"/>
        </w:rPr>
        <w:t xml:space="preserve">АЗОВСКОГО РАЙОНА </w:t>
      </w:r>
      <w:r>
        <w:rPr>
          <w:rStyle w:val="Style_4_ch"/>
          <w:rFonts w:ascii="Times New Roman" w:hAnsi="Times New Roman"/>
          <w:b w:val="0"/>
          <w:sz w:val="24"/>
        </w:rPr>
        <w:t xml:space="preserve">ЗА </w:t>
      </w:r>
      <w:r>
        <w:rPr>
          <w:rStyle w:val="Style_4_ch"/>
          <w:rFonts w:ascii="Times New Roman" w:hAnsi="Times New Roman"/>
          <w:b w:val="0"/>
          <w:sz w:val="24"/>
        </w:rPr>
        <w:t>2022 ГОД»</w:t>
      </w:r>
    </w:p>
    <w:p w14:paraId="1E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1F00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</w:p>
    <w:p w14:paraId="20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1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14:paraId="22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2022 год</w:t>
      </w:r>
    </w:p>
    <w:p w14:paraId="23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</w:p>
    <w:p w14:paraId="24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2022 год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themeColor="text1" w:val="000000"/>
          <w:sz w:val="28"/>
        </w:rPr>
        <w:t xml:space="preserve">доходам </w:t>
      </w:r>
      <w:r>
        <w:rPr>
          <w:rFonts w:ascii="Times New Roman" w:hAnsi="Times New Roman"/>
          <w:color w:themeColor="text1" w:val="000000"/>
          <w:sz w:val="28"/>
        </w:rPr>
        <w:t>35 623,5</w:t>
      </w:r>
      <w:r>
        <w:rPr>
          <w:rFonts w:ascii="Times New Roman" w:hAnsi="Times New Roman"/>
          <w:color w:themeColor="text1" w:val="000000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или </w:t>
      </w:r>
      <w:r>
        <w:rPr>
          <w:rFonts w:ascii="Times New Roman" w:hAnsi="Times New Roman"/>
          <w:sz w:val="28"/>
        </w:rPr>
        <w:t>113,6</w:t>
      </w:r>
      <w:r>
        <w:rPr>
          <w:rFonts w:ascii="Times New Roman" w:hAnsi="Times New Roman"/>
          <w:sz w:val="28"/>
        </w:rPr>
        <w:t xml:space="preserve"> процентов к годовому плану, и по расходам  </w:t>
      </w:r>
      <w:r>
        <w:rPr>
          <w:rFonts w:ascii="Times New Roman" w:hAnsi="Times New Roman"/>
          <w:sz w:val="28"/>
        </w:rPr>
        <w:t>29 695,7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97,3</w:t>
      </w:r>
      <w:r>
        <w:rPr>
          <w:rFonts w:ascii="Times New Roman" w:hAnsi="Times New Roman"/>
          <w:sz w:val="28"/>
        </w:rPr>
        <w:t xml:space="preserve"> процентов к плану года. </w:t>
      </w:r>
      <w:r>
        <w:rPr>
          <w:rFonts w:ascii="Times New Roman" w:hAnsi="Times New Roman"/>
          <w:sz w:val="28"/>
        </w:rPr>
        <w:t>Профицит</w:t>
      </w:r>
      <w:r>
        <w:rPr>
          <w:rFonts w:ascii="Times New Roman" w:hAnsi="Times New Roman"/>
          <w:sz w:val="28"/>
        </w:rPr>
        <w:t xml:space="preserve"> по итогам 2022 года составил </w:t>
      </w:r>
      <w:r>
        <w:rPr>
          <w:rFonts w:ascii="Times New Roman" w:hAnsi="Times New Roman"/>
          <w:sz w:val="28"/>
        </w:rPr>
        <w:t>5 927,8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themeColor="text1" w:val="000000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</w:t>
      </w:r>
      <w:r>
        <w:rPr>
          <w:rFonts w:ascii="Times New Roman" w:hAnsi="Times New Roman"/>
          <w:sz w:val="28"/>
        </w:rPr>
        <w:t>уменьшились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14 313,0</w:t>
      </w:r>
      <w:r>
        <w:rPr>
          <w:rFonts w:ascii="Times New Roman" w:hAnsi="Times New Roman"/>
          <w:sz w:val="28"/>
        </w:rPr>
        <w:t xml:space="preserve"> тысяч рублей или на </w:t>
      </w:r>
      <w:r>
        <w:rPr>
          <w:rFonts w:ascii="Times New Roman" w:hAnsi="Times New Roman"/>
          <w:sz w:val="28"/>
        </w:rPr>
        <w:t xml:space="preserve">140,2 </w:t>
      </w:r>
      <w:r>
        <w:rPr>
          <w:rFonts w:ascii="Times New Roman" w:hAnsi="Times New Roman"/>
          <w:sz w:val="28"/>
        </w:rPr>
        <w:t xml:space="preserve">процента, в связи с </w:t>
      </w:r>
      <w:r>
        <w:rPr>
          <w:rFonts w:ascii="Times New Roman" w:hAnsi="Times New Roman"/>
          <w:sz w:val="28"/>
        </w:rPr>
        <w:t xml:space="preserve">получением субсидии на </w:t>
      </w:r>
      <w:r>
        <w:rPr>
          <w:rFonts w:ascii="Times New Roman" w:hAnsi="Times New Roman"/>
          <w:sz w:val="28"/>
        </w:rPr>
        <w:t>софинансирование</w:t>
      </w:r>
      <w:r>
        <w:rPr>
          <w:rFonts w:ascii="Times New Roman" w:hAnsi="Times New Roman"/>
          <w:sz w:val="28"/>
        </w:rPr>
        <w:t xml:space="preserve"> реализации национального проекта «Комфортная городская среда» в 2021 году. </w:t>
      </w:r>
    </w:p>
    <w:p w14:paraId="25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>
        <w:rPr>
          <w:rFonts w:ascii="Times New Roman" w:hAnsi="Times New Roman"/>
          <w:sz w:val="28"/>
        </w:rPr>
        <w:t>2022 год</w:t>
      </w:r>
      <w:r>
        <w:rPr>
          <w:rFonts w:ascii="Times New Roman" w:hAnsi="Times New Roman"/>
          <w:sz w:val="28"/>
        </w:rPr>
        <w:t xml:space="preserve"> прилагаются.</w:t>
      </w:r>
    </w:p>
    <w:p w14:paraId="26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>
        <w:rPr>
          <w:rFonts w:ascii="Times New Roman" w:hAnsi="Times New Roman"/>
          <w:sz w:val="28"/>
        </w:rPr>
        <w:t>16 639,0</w:t>
      </w:r>
      <w:r>
        <w:rPr>
          <w:rFonts w:ascii="Times New Roman" w:hAnsi="Times New Roman"/>
          <w:sz w:val="28"/>
        </w:rPr>
        <w:t xml:space="preserve"> тысяч рублей, или </w:t>
      </w:r>
      <w:r>
        <w:rPr>
          <w:rFonts w:ascii="Times New Roman" w:hAnsi="Times New Roman"/>
          <w:sz w:val="28"/>
        </w:rPr>
        <w:t>134,3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2022                                                                                                                            года  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перевыполнен на общую сумму </w:t>
      </w:r>
      <w:r>
        <w:rPr>
          <w:rFonts w:ascii="Times New Roman" w:hAnsi="Times New Roman"/>
          <w:sz w:val="28"/>
        </w:rPr>
        <w:t>4 280,9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>
        <w:rPr>
          <w:rFonts w:ascii="Times New Roman" w:hAnsi="Times New Roman"/>
          <w:sz w:val="28"/>
        </w:rPr>
        <w:t>по налогу на доходы физичес</w:t>
      </w:r>
      <w:r>
        <w:rPr>
          <w:rFonts w:ascii="Times New Roman" w:hAnsi="Times New Roman"/>
          <w:sz w:val="28"/>
        </w:rPr>
        <w:t>ких лиц – 1 430,8</w:t>
      </w:r>
      <w:r>
        <w:rPr>
          <w:rFonts w:ascii="Times New Roman" w:hAnsi="Times New Roman"/>
          <w:sz w:val="28"/>
        </w:rPr>
        <w:t xml:space="preserve"> тысяч рублей, </w:t>
      </w:r>
      <w:r>
        <w:rPr>
          <w:rFonts w:ascii="Times New Roman" w:hAnsi="Times New Roman"/>
          <w:sz w:val="28"/>
        </w:rPr>
        <w:t xml:space="preserve">по единому сельскохозяйственному налогу – </w:t>
      </w:r>
      <w:r>
        <w:rPr>
          <w:rFonts w:ascii="Times New Roman" w:hAnsi="Times New Roman"/>
          <w:sz w:val="28"/>
        </w:rPr>
        <w:t>649,1</w:t>
      </w:r>
      <w:r>
        <w:rPr>
          <w:rFonts w:ascii="Times New Roman" w:hAnsi="Times New Roman"/>
          <w:sz w:val="28"/>
        </w:rPr>
        <w:t xml:space="preserve"> тысяч 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налогу на имущество физических лиц – 151,0 тысяч 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 земельному налогу физических лиц – 860,9 тысяч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рублей, 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пошлине – </w:t>
      </w:r>
      <w:r>
        <w:rPr>
          <w:rFonts w:ascii="Times New Roman" w:hAnsi="Times New Roman"/>
          <w:sz w:val="28"/>
        </w:rPr>
        <w:t>15,6</w:t>
      </w:r>
      <w:r>
        <w:rPr>
          <w:rFonts w:ascii="Times New Roman" w:hAnsi="Times New Roman"/>
          <w:sz w:val="28"/>
        </w:rPr>
        <w:t xml:space="preserve"> тысяч рублей, </w:t>
      </w:r>
      <w:r>
        <w:rPr>
          <w:rFonts w:ascii="Times New Roman" w:hAnsi="Times New Roman"/>
          <w:sz w:val="28"/>
        </w:rPr>
        <w:t xml:space="preserve">по доходам от сдачи в аренду земли- 146,4, </w:t>
      </w:r>
      <w:r>
        <w:rPr>
          <w:rFonts w:ascii="Times New Roman" w:hAnsi="Times New Roman"/>
          <w:sz w:val="28"/>
        </w:rPr>
        <w:t xml:space="preserve">от оказания платных услуг и компенсации затрат государства – </w:t>
      </w:r>
      <w:r>
        <w:rPr>
          <w:rFonts w:ascii="Times New Roman" w:hAnsi="Times New Roman"/>
          <w:sz w:val="28"/>
        </w:rPr>
        <w:t>17,3</w:t>
      </w:r>
      <w:r>
        <w:rPr>
          <w:rFonts w:ascii="Times New Roman" w:hAnsi="Times New Roman"/>
          <w:sz w:val="28"/>
        </w:rPr>
        <w:t xml:space="preserve"> от продажи имущества -1 610,0 тысяч рублей. </w:t>
      </w:r>
    </w:p>
    <w:p w14:paraId="27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недоимка </w:t>
      </w:r>
      <w:r>
        <w:rPr>
          <w:rFonts w:ascii="Times New Roman" w:hAnsi="Times New Roman"/>
          <w:color w:val="000000"/>
          <w:sz w:val="28"/>
        </w:rPr>
        <w:t xml:space="preserve">составила </w:t>
      </w:r>
      <w:r>
        <w:rPr>
          <w:rFonts w:ascii="Times New Roman" w:hAnsi="Times New Roman"/>
          <w:color w:val="000000"/>
          <w:sz w:val="28"/>
        </w:rPr>
        <w:t>600,2</w:t>
      </w:r>
      <w:r>
        <w:rPr>
          <w:rFonts w:ascii="Times New Roman" w:hAnsi="Times New Roman"/>
          <w:sz w:val="28"/>
        </w:rPr>
        <w:t xml:space="preserve"> тысяч рублей, из них: земельному налогу юридических лиц – </w:t>
      </w:r>
      <w:r>
        <w:rPr>
          <w:rFonts w:ascii="Times New Roman" w:hAnsi="Times New Roman"/>
          <w:sz w:val="28"/>
        </w:rPr>
        <w:t>403,9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 доходам от сдачи в аренду имущества –</w:t>
      </w:r>
      <w:r>
        <w:rPr>
          <w:rFonts w:ascii="Times New Roman" w:hAnsi="Times New Roman"/>
          <w:sz w:val="28"/>
        </w:rPr>
        <w:t>196,3</w:t>
      </w:r>
      <w:r>
        <w:rPr>
          <w:rFonts w:ascii="Times New Roman" w:hAnsi="Times New Roman"/>
          <w:sz w:val="28"/>
        </w:rPr>
        <w:t xml:space="preserve"> тысяч рублей.</w:t>
      </w:r>
    </w:p>
    <w:p w14:paraId="28000000">
      <w:pPr>
        <w:pStyle w:val="Style_4"/>
        <w:widowControl w:val="1"/>
        <w:ind w:firstLine="567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Безвозмездные поступления  за </w:t>
      </w:r>
      <w:r>
        <w:rPr>
          <w:rFonts w:ascii="Times New Roman" w:hAnsi="Times New Roman"/>
          <w:sz w:val="28"/>
        </w:rPr>
        <w:t xml:space="preserve"> 2022 год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sz w:val="28"/>
        </w:rPr>
        <w:t>18 984,5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тысяч рублей</w:t>
      </w:r>
      <w:r>
        <w:rPr>
          <w:rFonts w:ascii="Times New Roman" w:hAnsi="Times New Roman"/>
          <w:b w:val="1"/>
          <w:color w:themeColor="text1" w:val="000000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9000000">
      <w:pPr>
        <w:pStyle w:val="Style_4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реализацию муниципальных программ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направлено 28 112,9 тыс. рублей, что составляет 98,9 процентов к годовым плановым назначениям или 92,0 процента всех расходов бюджета поселения.</w:t>
      </w:r>
    </w:p>
    <w:p w14:paraId="2A000000">
      <w:pPr>
        <w:pStyle w:val="Style_4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Просроченная кредиторская задолженность бюджета поселения за              2022 год, в том числе по долговым обязательствам, отсутствует.</w:t>
      </w:r>
    </w:p>
    <w:p w14:paraId="2B000000">
      <w:pPr>
        <w:pStyle w:val="Style_4"/>
        <w:widowControl w:val="1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итогам 2022 года муниципальный долг </w:t>
      </w:r>
      <w:r>
        <w:rPr>
          <w:rFonts w:ascii="Times New Roman" w:hAnsi="Times New Roman"/>
          <w:color w:val="000000"/>
          <w:sz w:val="28"/>
        </w:rPr>
        <w:t>Кагальницкого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отсутствует.</w:t>
      </w:r>
    </w:p>
    <w:p w14:paraId="2C000000">
      <w:pPr>
        <w:pStyle w:val="Style_4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финансирование общегосударственных вопросов направлено 12 219,9  </w:t>
      </w:r>
      <w:r>
        <w:rPr>
          <w:rFonts w:ascii="Times New Roman" w:hAnsi="Times New Roman"/>
          <w:color w:val="000000"/>
          <w:sz w:val="28"/>
        </w:rPr>
        <w:t>тыс. рублей, что составляет 94,4 процента к годовым плановым назначениям; мероприятий по национальной обороне – 510,9 тыс. рублей или 100,0 процентов к годовым планам; мероприятий по дорожной деятельности израсходовано 450,0 тыс. рублей, что составляет 100,0 процентов от плановых значений; жилищно-коммунального хозяйства – 15 442,0 тыс. руб., исполнение расходов по данному направлению к годовым назначениям составило 99,4 процентов. Расходы по разделу «Образование» за 2022 год составили 15,0 тыс. рублей, что составляет 100,0 процентов к годовым плановым назначениям. На финансирование культуры и кинематографии направлено 522,4 тыс</w:t>
      </w:r>
      <w:r>
        <w:rPr>
          <w:rFonts w:ascii="Times New Roman" w:hAnsi="Times New Roman"/>
          <w:color w:val="000000"/>
          <w:sz w:val="28"/>
        </w:rPr>
        <w:t>.р</w:t>
      </w:r>
      <w:r>
        <w:rPr>
          <w:rFonts w:ascii="Times New Roman" w:hAnsi="Times New Roman"/>
          <w:color w:val="000000"/>
          <w:sz w:val="28"/>
        </w:rPr>
        <w:t>уб., что составляет 100,0 процентов к годовым плановым назначениям. На мероприятия в области социального обеспечения направлено 415,4 тыс. рублей, что составляет 100,0 процентов к годовым плановым назначениям. На мероприятия по развитию физической культуры и спорта израсходовано 120,0 тыс. руб., что составило 100,0 процентов от годовых плановых  назначений.</w:t>
      </w:r>
    </w:p>
    <w:p w14:paraId="2D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14:paraId="2E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</w:p>
    <w:p w14:paraId="2F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3000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</w:rPr>
        <w:t>Малерян</w:t>
      </w:r>
      <w:r>
        <w:rPr>
          <w:rFonts w:ascii="Times New Roman" w:hAnsi="Times New Roman"/>
          <w:sz w:val="28"/>
        </w:rPr>
        <w:t xml:space="preserve"> К.А.                                      </w:t>
      </w:r>
    </w:p>
    <w:p w14:paraId="31000000">
      <w:pPr>
        <w:ind w:firstLine="567" w:left="0"/>
        <w:rPr>
          <w:sz w:val="28"/>
        </w:rPr>
      </w:pPr>
    </w:p>
    <w:p w14:paraId="32000000">
      <w:pPr>
        <w:ind w:firstLine="567" w:left="0"/>
        <w:rPr>
          <w:sz w:val="28"/>
        </w:rPr>
      </w:pPr>
    </w:p>
    <w:p w14:paraId="33000000">
      <w:pPr>
        <w:ind w:firstLine="567" w:left="0"/>
        <w:rPr>
          <w:sz w:val="28"/>
        </w:rPr>
      </w:pPr>
    </w:p>
    <w:p w14:paraId="34000000">
      <w:pPr>
        <w:ind w:firstLine="567" w:left="0"/>
        <w:rPr>
          <w:sz w:val="28"/>
        </w:rPr>
      </w:pPr>
    </w:p>
    <w:p w14:paraId="35000000">
      <w:pPr>
        <w:sectPr>
          <w:pgSz w:h="16838" w:orient="portrait" w:w="11906"/>
          <w:pgMar w:bottom="1134" w:footer="708" w:gutter="0" w:header="708" w:left="1418" w:right="851" w:top="993"/>
        </w:sectPr>
      </w:pPr>
    </w:p>
    <w:p w14:paraId="36000000">
      <w:pPr>
        <w:pStyle w:val="Style_4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к сведениям о ходе исполнения </w:t>
      </w:r>
      <w:r>
        <w:rPr>
          <w:rFonts w:ascii="Times New Roman" w:hAnsi="Times New Roman"/>
          <w:sz w:val="24"/>
        </w:rPr>
        <w:t xml:space="preserve">бюджета </w:t>
      </w:r>
    </w:p>
    <w:p w14:paraId="37000000">
      <w:pPr>
        <w:pStyle w:val="Style_4"/>
        <w:widowControl w:val="1"/>
        <w:ind w:firstLine="567" w:left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Кагальницкого</w:t>
      </w:r>
      <w:r>
        <w:rPr>
          <w:rFonts w:ascii="Times New Roman" w:hAnsi="Times New Roman"/>
          <w:sz w:val="24"/>
        </w:rPr>
        <w:t xml:space="preserve"> сельского </w:t>
      </w:r>
      <w:r>
        <w:rPr>
          <w:rFonts w:ascii="Times New Roman" w:hAnsi="Times New Roman"/>
          <w:sz w:val="24"/>
        </w:rPr>
        <w:t xml:space="preserve">поселения Азовского района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год</w:t>
      </w:r>
    </w:p>
    <w:p w14:paraId="38000000">
      <w:pPr>
        <w:pStyle w:val="Style_4"/>
        <w:widowControl w:val="1"/>
        <w:ind w:firstLine="567" w:left="0"/>
        <w:jc w:val="right"/>
        <w:rPr>
          <w:rFonts w:ascii="Times New Roman" w:hAnsi="Times New Roman"/>
          <w:sz w:val="28"/>
        </w:rPr>
      </w:pPr>
    </w:p>
    <w:p w14:paraId="39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14:paraId="3A000000">
      <w:pPr>
        <w:pStyle w:val="Style_3"/>
        <w:widowControl w:val="1"/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КАГАЛЬНИЦКОГО СЕЛЬСКОГО ПОСЕЛЕНИЯ АЗОВСКОГО РАЙОНА ЗА </w:t>
      </w:r>
      <w:r>
        <w:rPr>
          <w:rFonts w:ascii="Times New Roman" w:hAnsi="Times New Roman"/>
          <w:sz w:val="28"/>
        </w:rPr>
        <w:t>2022 ГОД</w:t>
      </w:r>
    </w:p>
    <w:p w14:paraId="3B000000">
      <w:pPr>
        <w:pStyle w:val="Style_4"/>
        <w:widowControl w:val="1"/>
        <w:ind w:firstLine="567" w:left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98"/>
        <w:gridCol w:w="2569"/>
        <w:gridCol w:w="1583"/>
        <w:gridCol w:w="1488"/>
      </w:tblGrid>
      <w:tr>
        <w:trPr>
          <w:trHeight w:hRule="atLeast" w:val="20"/>
          <w:tblHeader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 w:firstLine="567" w:left="0"/>
              <w:jc w:val="center"/>
              <w:rPr>
                <w:b w:val="1"/>
              </w:rPr>
            </w:pPr>
          </w:p>
          <w:p w14:paraId="3D000000">
            <w:pPr>
              <w:ind w:firstLine="567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статьи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b w:val="1"/>
              </w:rPr>
            </w:pPr>
          </w:p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КБК доходов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0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1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 w:firstLine="567" w:left="0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 w:firstLine="567" w:left="0"/>
              <w:rPr>
                <w:sz w:val="18"/>
              </w:rPr>
            </w:pPr>
            <w:bookmarkStart w:id="1" w:name="RANGE!A11:C58"/>
            <w:bookmarkEnd w:id="1"/>
            <w:r>
              <w:rPr>
                <w:sz w:val="18"/>
              </w:rPr>
              <w:t>1 00 00000 00 0000 000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</w:pPr>
            <w:r>
              <w:rPr>
                <w:sz w:val="22"/>
              </w:rPr>
              <w:t>16 639,0</w:t>
            </w:r>
          </w:p>
        </w:tc>
      </w:tr>
      <w:tr>
        <w:trPr>
          <w:trHeight w:hRule="atLeast" w:val="55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 w:firstLine="567" w:left="0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rPr>
                <w:sz w:val="22"/>
              </w:rPr>
              <w:t>5 497,0</w:t>
            </w:r>
          </w:p>
        </w:tc>
      </w:tr>
      <w:tr>
        <w:trPr>
          <w:trHeight w:hRule="atLeast" w:val="562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 w:firstLine="567" w:left="0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rPr>
                <w:sz w:val="22"/>
              </w:rPr>
              <w:t>5 497,0</w:t>
            </w:r>
          </w:p>
        </w:tc>
      </w:tr>
      <w:tr>
        <w:trPr>
          <w:trHeight w:hRule="atLeast" w:val="449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 w:firstLine="567" w:left="0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043,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42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 w:firstLine="567" w:left="0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 043,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59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 w:firstLine="567" w:left="0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center"/>
            </w:pPr>
            <w:r>
              <w:rPr>
                <w:sz w:val="22"/>
              </w:rPr>
              <w:t>7 760,7</w:t>
            </w:r>
          </w:p>
        </w:tc>
      </w:tr>
      <w:tr>
        <w:trPr>
          <w:trHeight w:hRule="atLeast" w:val="57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 w:firstLine="567" w:left="0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rPr>
                <w:sz w:val="22"/>
              </w:rPr>
              <w:t>1 296,5</w:t>
            </w:r>
          </w:p>
        </w:tc>
      </w:tr>
      <w:tr>
        <w:trPr>
          <w:trHeight w:hRule="atLeast" w:val="497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rPr>
                <w:sz w:val="22"/>
              </w:rPr>
              <w:t>6 464,2</w:t>
            </w:r>
          </w:p>
        </w:tc>
      </w:tr>
      <w:tr>
        <w:trPr>
          <w:trHeight w:hRule="atLeast" w:val="546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/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ind/>
              <w:jc w:val="center"/>
            </w:pPr>
            <w:r>
              <w:rPr>
                <w:sz w:val="22"/>
              </w:rPr>
              <w:t>1 530,1</w:t>
            </w:r>
          </w:p>
        </w:tc>
      </w:tr>
      <w:tr>
        <w:trPr>
          <w:trHeight w:hRule="atLeast" w:val="50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 w:firstLine="567" w:left="0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ind/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jc w:val="center"/>
            </w:pPr>
            <w:r>
              <w:rPr>
                <w:sz w:val="22"/>
              </w:rPr>
              <w:t>4 934,1</w:t>
            </w:r>
          </w:p>
        </w:tc>
      </w:tr>
      <w:tr>
        <w:trPr>
          <w:trHeight w:hRule="atLeast" w:val="485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</w:pPr>
            <w:r>
              <w:rPr>
                <w:sz w:val="22"/>
              </w:rPr>
              <w:t>42,6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 w:firstLine="567" w:left="0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rPr>
                <w:sz w:val="22"/>
              </w:rPr>
              <w:t>42,6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 w:firstLine="567" w:left="0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rPr>
                <w:sz w:val="22"/>
              </w:rPr>
              <w:t>667,9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 w:firstLine="567" w:left="0"/>
              <w:jc w:val="center"/>
            </w:pPr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111 05020 00 0000 120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rPr>
                <w:sz w:val="22"/>
              </w:rPr>
              <w:t>146,4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 w:firstLine="567" w:left="0"/>
              <w:jc w:val="center"/>
            </w:pPr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sz w:val="22"/>
              </w:rPr>
              <w:t>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rPr>
                <w:sz w:val="22"/>
              </w:rPr>
              <w:t>521,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564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 w:firstLine="567" w:left="0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rPr>
                <w:sz w:val="22"/>
              </w:rPr>
              <w:t>17,3</w:t>
            </w:r>
          </w:p>
        </w:tc>
      </w:tr>
      <w:tr>
        <w:trPr>
          <w:trHeight w:hRule="atLeast" w:val="55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 w:firstLine="567" w:left="0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14:paraId="84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rPr>
                <w:sz w:val="22"/>
              </w:rPr>
              <w:t>17,3</w:t>
            </w:r>
          </w:p>
        </w:tc>
      </w:tr>
      <w:tr>
        <w:trPr>
          <w:trHeight w:hRule="atLeast" w:val="56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 w:firstLine="567" w:left="0"/>
              <w:jc w:val="center"/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rPr>
                <w:sz w:val="22"/>
              </w:rPr>
              <w:t>1 610,0</w:t>
            </w:r>
          </w:p>
        </w:tc>
      </w:tr>
      <w:tr>
        <w:trPr>
          <w:trHeight w:hRule="atLeast" w:val="56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 w:firstLine="567" w:left="0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14:paraId="8D000000">
            <w:pPr>
              <w:ind w:firstLine="567" w:left="0"/>
              <w:rPr>
                <w:sz w:val="18"/>
              </w:rPr>
            </w:pP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1 610,0</w:t>
            </w:r>
          </w:p>
          <w:p w14:paraId="90000000">
            <w:pPr>
              <w:ind w:firstLine="567" w:left="0"/>
              <w:jc w:val="center"/>
            </w:pP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rPr>
                <w:sz w:val="22"/>
              </w:rPr>
              <w:t>18 984,6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</w:pPr>
            <w:r>
              <w:rPr>
                <w:sz w:val="22"/>
              </w:rPr>
              <w:t>18 984,5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 w:firstLine="567" w:left="0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rPr>
                <w:sz w:val="22"/>
              </w:rPr>
              <w:t>18 984,6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rPr>
                <w:sz w:val="22"/>
              </w:rPr>
              <w:t>18 984,5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rPr>
                <w:sz w:val="22"/>
              </w:rPr>
              <w:t>8 480,0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 w:firstLine="567" w:left="0"/>
              <w:jc w:val="center"/>
            </w:pPr>
            <w:r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202 15001 00 0000 150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rPr>
                <w:sz w:val="22"/>
              </w:rPr>
              <w:t>8 480,0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rPr>
                <w:sz w:val="22"/>
              </w:rPr>
              <w:t>8 480,0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 w:firstLine="567" w:left="0"/>
              <w:jc w:val="center"/>
            </w:pPr>
            <w:r>
              <w:rPr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202 15002 00 0000 150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rPr>
                <w:sz w:val="22"/>
              </w:rPr>
              <w:t>280,7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rPr>
                <w:sz w:val="22"/>
              </w:rPr>
              <w:t>280,7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280,7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280,7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 xml:space="preserve">202 </w:t>
            </w:r>
            <w:r>
              <w:rPr>
                <w:sz w:val="18"/>
              </w:rPr>
              <w:t>25555 00 0000 150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9162,8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9 162,7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 w:firstLine="567" w:left="0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25555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9162,8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9 162,7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rPr>
                <w:sz w:val="22"/>
              </w:rPr>
              <w:t>511,1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rPr>
                <w:sz w:val="22"/>
              </w:rPr>
              <w:t>511,1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 w:firstLine="567" w:left="0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 w:firstLine="567" w:left="0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510,9</w:t>
            </w:r>
          </w:p>
        </w:tc>
      </w:tr>
      <w:tr>
        <w:trPr>
          <w:trHeight w:hRule="atLeast" w:val="418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 w:firstLine="567" w:left="0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rPr>
                <w:sz w:val="22"/>
              </w:rPr>
              <w:t>550,0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rPr>
                <w:sz w:val="22"/>
              </w:rPr>
              <w:t>550,0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 w:firstLine="567" w:left="0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 w:firstLine="567" w:left="0"/>
            </w:pPr>
            <w:r>
              <w:rPr>
                <w:sz w:val="22"/>
              </w:rPr>
              <w:t>450,0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rPr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 w:firstLine="567" w:left="0"/>
              <w:jc w:val="center"/>
            </w:pPr>
            <w:r>
              <w:rPr>
                <w:sz w:val="22"/>
              </w:rPr>
              <w:t xml:space="preserve">Прочие межбюджетные трансферты, </w:t>
            </w:r>
            <w:r>
              <w:rPr>
                <w:sz w:val="22"/>
              </w:rPr>
              <w:t>передаваемые бюджетам</w:t>
            </w:r>
          </w:p>
          <w:p w14:paraId="CA000000">
            <w:pPr>
              <w:ind w:firstLine="567" w:left="0"/>
              <w:jc w:val="center"/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 w:firstLine="567" w:left="0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833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 w:firstLine="567" w:left="0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14:paraId="CF000000">
            <w:pPr>
              <w:ind w:firstLine="567" w:left="0"/>
              <w:jc w:val="center"/>
            </w:pP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 w:firstLine="567" w:left="0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 w:firstLine="567" w:left="0"/>
            </w:pPr>
            <w:r>
              <w:rPr>
                <w:sz w:val="22"/>
              </w:rPr>
              <w:t>100,0</w:t>
            </w:r>
          </w:p>
        </w:tc>
      </w:tr>
      <w:tr>
        <w:trPr>
          <w:trHeight w:hRule="atLeast" w:val="20"/>
        </w:trPr>
        <w:tc>
          <w:tcPr>
            <w:tcW w:type="dxa" w:w="4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Всего доходов</w:t>
            </w:r>
          </w:p>
        </w:tc>
        <w:tc>
          <w:tcPr>
            <w:tcW w:type="dxa" w:w="2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 w:firstLine="567" w:left="0"/>
              <w:rPr>
                <w:b w:val="1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5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31 342,7</w:t>
            </w:r>
          </w:p>
        </w:tc>
        <w:tc>
          <w:tcPr>
            <w:tcW w:type="dxa" w:w="14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35 623,5</w:t>
            </w:r>
          </w:p>
        </w:tc>
      </w:tr>
    </w:tbl>
    <w:p w14:paraId="D700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16"/>
        </w:rPr>
      </w:pPr>
    </w:p>
    <w:p w14:paraId="D8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p w14:paraId="D9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II. Расходы бюджета поселения</w:t>
      </w:r>
    </w:p>
    <w:p w14:paraId="DA00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6"/>
        </w:rPr>
      </w:pPr>
    </w:p>
    <w:tbl>
      <w:tblPr>
        <w:tblStyle w:val="Style_5"/>
        <w:tblInd w:type="dxa" w:w="-601"/>
        <w:tblLayout w:type="fixed"/>
      </w:tblPr>
      <w:tblGrid>
        <w:gridCol w:w="5762"/>
        <w:gridCol w:w="936"/>
        <w:gridCol w:w="667"/>
        <w:gridCol w:w="1737"/>
        <w:gridCol w:w="1419"/>
      </w:tblGrid>
      <w:tr>
        <w:trPr>
          <w:trHeight w:hRule="atLeast" w:val="20"/>
          <w:tblHeader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 расходов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Раздел</w:t>
            </w: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Под</w:t>
            </w:r>
          </w:p>
          <w:p w14:paraId="DE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раз</w:t>
            </w:r>
          </w:p>
          <w:p w14:paraId="DF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дел</w:t>
            </w: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Утверждено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0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Исполнено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2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Итого расходы, в том числе: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3000000">
            <w:pPr>
              <w:ind w:firstLine="33" w:left="0"/>
            </w:pP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4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30 513,0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29 695,7</w:t>
            </w:r>
          </w:p>
        </w:tc>
      </w:tr>
      <w:tr>
        <w:trPr>
          <w:trHeight w:hRule="atLeast" w:val="339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8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900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12 938,0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219,9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D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EE00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rPr>
                <w:sz w:val="22"/>
              </w:rPr>
              <w:t>10 993,5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rPr>
                <w:sz w:val="22"/>
              </w:rPr>
              <w:t>10 839,</w:t>
            </w:r>
            <w:r>
              <w:rPr>
                <w:sz w:val="22"/>
              </w:rPr>
              <w:t>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2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3000000">
            <w:pPr>
              <w:ind w:firstLine="33" w:left="0"/>
              <w:jc w:val="center"/>
            </w:pPr>
            <w:r>
              <w:rPr>
                <w:sz w:val="22"/>
              </w:rPr>
              <w:t>06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rPr>
                <w:sz w:val="22"/>
              </w:rPr>
              <w:t>133,1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rPr>
                <w:sz w:val="22"/>
              </w:rPr>
              <w:t>133,1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6000000">
            <w:pPr>
              <w:ind/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7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800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rPr>
                <w:sz w:val="22"/>
              </w:rPr>
              <w:t>500,0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rPr>
                <w:sz w:val="22"/>
              </w:rPr>
              <w:t>0,00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B000000">
            <w:pPr>
              <w:ind/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C00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FD000000">
            <w:pPr>
              <w:ind w:firstLine="33" w:left="0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rPr>
                <w:sz w:val="22"/>
              </w:rPr>
              <w:t>1 311,4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rPr>
                <w:sz w:val="22"/>
              </w:rPr>
              <w:t>1 247,8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0010000">
            <w:pPr>
              <w:ind/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1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2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510,9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5010000">
            <w:pPr>
              <w:ind/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6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7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510,9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510,9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A010000">
            <w:pPr>
              <w:ind/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B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0C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F010000">
            <w:pPr>
              <w:ind/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0010000">
            <w:pPr>
              <w:ind w:firstLine="33" w:left="0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1010000">
            <w:pPr>
              <w:ind w:firstLine="33" w:left="0"/>
              <w:jc w:val="center"/>
            </w:pPr>
            <w:r>
              <w:rPr>
                <w:sz w:val="22"/>
              </w:rPr>
              <w:t>09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450,0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10000">
            <w:pPr>
              <w:ind/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5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6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15 541,2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15 442,0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9010000">
            <w:pPr>
              <w:ind/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A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86,</w:t>
            </w:r>
            <w:r>
              <w:rPr>
                <w:color w:val="000000"/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E010000">
            <w:pPr>
              <w:ind/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0010000">
            <w:pPr>
              <w:ind w:firstLine="33" w:left="0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197,7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197,5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3010000">
            <w:pPr>
              <w:ind/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4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10000">
            <w:pPr>
              <w:ind w:firstLine="33" w:left="0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15 243,5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15 158,0</w:t>
            </w:r>
          </w:p>
        </w:tc>
      </w:tr>
      <w:tr>
        <w:trPr>
          <w:trHeight w:hRule="atLeast" w:val="88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 w:firstLine="33" w:left="0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 w:firstLine="33" w:left="0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15,0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 w:firstLine="33" w:left="0"/>
              <w:jc w:val="center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522,4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522,4</w:t>
            </w:r>
          </w:p>
        </w:tc>
      </w:tr>
      <w:tr>
        <w:trPr>
          <w:trHeight w:hRule="atLeast" w:val="521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 w:firstLine="33" w:left="0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522,4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522,4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D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3E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415,5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415,</w:t>
            </w:r>
            <w:r>
              <w:rPr>
                <w:color w:val="000000"/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2010000">
            <w:pPr>
              <w:ind w:firstLine="33" w:left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3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415,5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415,</w:t>
            </w:r>
            <w:r>
              <w:rPr>
                <w:color w:val="000000"/>
                <w:sz w:val="22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6010000">
            <w:pPr>
              <w:ind/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7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8010000">
            <w:pPr>
              <w:ind w:firstLine="33" w:left="0"/>
            </w:pP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120,0</w:t>
            </w:r>
          </w:p>
        </w:tc>
      </w:tr>
      <w:tr>
        <w:trPr>
          <w:trHeight w:hRule="atLeast" w:val="20"/>
        </w:trPr>
        <w:tc>
          <w:tcPr>
            <w:tcW w:type="dxa" w:w="576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4B010000">
            <w:pPr>
              <w:ind/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type="dxa" w:w="9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C010000">
            <w:pPr>
              <w:ind w:firstLine="33" w:left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6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4D010000">
            <w:pPr>
              <w:ind w:firstLine="33" w:left="0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type="dxa" w:w="173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120,0</w:t>
            </w:r>
          </w:p>
        </w:tc>
        <w:tc>
          <w:tcPr>
            <w:tcW w:type="dxa" w:w="141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120,0</w:t>
            </w:r>
          </w:p>
        </w:tc>
      </w:tr>
      <w:tr>
        <w:trPr>
          <w:trHeight w:hRule="atLeast" w:val="184"/>
        </w:trPr>
        <w:tc>
          <w:tcPr>
            <w:tcW w:type="dxa" w:w="5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0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 (-),  </w:t>
            </w:r>
            <w:r>
              <w:rPr>
                <w:b w:val="1"/>
                <w:sz w:val="22"/>
              </w:rPr>
              <w:t>профицит</w:t>
            </w:r>
            <w:r>
              <w:rPr>
                <w:b w:val="1"/>
                <w:sz w:val="22"/>
              </w:rPr>
              <w:t xml:space="preserve">  (+)</w:t>
            </w:r>
          </w:p>
        </w:tc>
        <w:tc>
          <w:tcPr>
            <w:tcW w:type="dxa" w:w="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1010000">
            <w:pPr>
              <w:ind w:firstLine="33" w:left="0"/>
            </w:pPr>
          </w:p>
        </w:tc>
        <w:tc>
          <w:tcPr>
            <w:tcW w:type="dxa" w:w="6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2010000">
            <w:pPr>
              <w:ind w:firstLine="33" w:left="0"/>
            </w:pPr>
          </w:p>
        </w:tc>
        <w:tc>
          <w:tcPr>
            <w:tcW w:type="dxa" w:w="1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3010000">
            <w:pPr>
              <w:ind w:firstLine="33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829,7</w:t>
            </w:r>
          </w:p>
        </w:tc>
        <w:tc>
          <w:tcPr>
            <w:tcW w:type="dxa" w:w="141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54010000">
            <w:pPr>
              <w:ind w:firstLine="33" w:left="0"/>
              <w:jc w:val="center"/>
              <w:rPr>
                <w:b w:val="1"/>
                <w:color w:val="000000"/>
              </w:rPr>
            </w:pPr>
            <w:r>
              <w:rPr>
                <w:rStyle w:val="Style_6_ch"/>
                <w:b w:val="1"/>
                <w:color w:val="000000"/>
                <w:sz w:val="22"/>
              </w:rPr>
              <w:t>5 927,8</w:t>
            </w:r>
          </w:p>
        </w:tc>
      </w:tr>
    </w:tbl>
    <w:p w14:paraId="55010000">
      <w:pPr>
        <w:widowControl w:val="0"/>
        <w:tabs>
          <w:tab w:leader="none" w:pos="90" w:val="left"/>
        </w:tabs>
        <w:spacing w:before="365"/>
        <w:ind w:firstLine="567" w:left="0"/>
        <w:jc w:val="center"/>
        <w:rPr>
          <w:b w:val="1"/>
          <w:sz w:val="26"/>
        </w:rPr>
      </w:pPr>
      <w:r>
        <w:rPr>
          <w:b w:val="1"/>
          <w:sz w:val="26"/>
        </w:rPr>
        <w:t>III. Источники финансирования дефицита бюджета поселения</w:t>
      </w:r>
    </w:p>
    <w:p w14:paraId="56010000">
      <w:pPr>
        <w:pStyle w:val="Style_4"/>
        <w:widowControl w:val="1"/>
        <w:tabs>
          <w:tab w:leader="none" w:pos="3288" w:val="left"/>
        </w:tabs>
        <w:ind w:firstLine="567" w:left="0"/>
        <w:jc w:val="both"/>
        <w:rPr>
          <w:rFonts w:ascii="Times New Roman" w:hAnsi="Times New Roman"/>
          <w:sz w:val="16"/>
        </w:rPr>
      </w:pPr>
    </w:p>
    <w:tbl>
      <w:tblPr>
        <w:tblStyle w:val="Style_5"/>
        <w:tblInd w:type="dxa" w:w="-601"/>
        <w:tblLayout w:type="fixed"/>
      </w:tblPr>
      <w:tblGrid>
        <w:gridCol w:w="4287"/>
        <w:gridCol w:w="3120"/>
        <w:gridCol w:w="1627"/>
        <w:gridCol w:w="1488"/>
      </w:tblGrid>
      <w:tr>
        <w:trPr>
          <w:trHeight w:hRule="atLeast" w:val="319"/>
        </w:trPr>
        <w:tc>
          <w:tcPr>
            <w:tcW w:type="dxa" w:w="4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7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Показатель</w:t>
            </w:r>
          </w:p>
        </w:tc>
        <w:tc>
          <w:tcPr>
            <w:tcW w:type="dxa" w:w="3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8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Код источника</w:t>
            </w:r>
          </w:p>
        </w:tc>
        <w:tc>
          <w:tcPr>
            <w:tcW w:type="dxa" w:w="16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9010000">
            <w:pPr>
              <w:ind w:firstLine="34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Утверждено</w:t>
            </w:r>
          </w:p>
        </w:tc>
        <w:tc>
          <w:tcPr>
            <w:tcW w:type="dxa" w:w="14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A010000">
            <w:pPr>
              <w:ind w:firstLine="34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Исполнено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B010000">
            <w:pPr>
              <w:ind w:firstLine="34" w:left="0"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C010000">
            <w:pPr>
              <w:ind w:firstLine="34" w:left="0"/>
              <w:jc w:val="center"/>
              <w:rPr>
                <w:b w:val="1"/>
              </w:rPr>
            </w:pP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10000">
            <w:pPr>
              <w:ind w:firstLine="34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-829,7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E010000">
            <w:pPr>
              <w:ind w:firstLine="34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-5 927,8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10000">
            <w:pPr>
              <w:ind w:firstLine="34" w:left="0" w:right="-249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0010000">
            <w:pPr>
              <w:ind w:firstLine="34" w:left="0"/>
              <w:jc w:val="center"/>
            </w:pPr>
            <w:r>
              <w:rPr>
                <w:sz w:val="22"/>
              </w:rPr>
              <w:t xml:space="preserve">01 05 00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0000 000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1010000">
            <w:pPr>
              <w:ind w:firstLine="34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829,7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2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  <w:sz w:val="22"/>
              </w:rPr>
              <w:t>5 927,8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10000">
            <w:pPr>
              <w:ind w:firstLine="34" w:left="0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10000">
            <w:pPr>
              <w:ind w:firstLine="34" w:left="0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5010000">
            <w:pPr>
              <w:ind w:firstLine="34"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31 342,7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6010000">
            <w:pPr>
              <w:ind w:firstLine="34"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35 623,5</w:t>
            </w:r>
          </w:p>
        </w:tc>
      </w:tr>
      <w:tr>
        <w:trPr>
          <w:trHeight w:hRule="atLeast" w:val="510"/>
        </w:trPr>
        <w:tc>
          <w:tcPr>
            <w:tcW w:type="dxa" w:w="42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10000">
            <w:pPr>
              <w:ind w:firstLine="34" w:left="0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type="dxa" w:w="3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10000">
            <w:pPr>
              <w:ind w:firstLine="34" w:left="0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type="dxa" w:w="16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10000">
            <w:pPr>
              <w:ind w:firstLine="34"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30 513,0</w:t>
            </w:r>
          </w:p>
        </w:tc>
        <w:tc>
          <w:tcPr>
            <w:tcW w:type="dxa" w:w="14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A010000">
            <w:pPr>
              <w:ind w:firstLine="34" w:left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29 695,7</w:t>
            </w:r>
          </w:p>
        </w:tc>
      </w:tr>
    </w:tbl>
    <w:p w14:paraId="6B010000">
      <w:pPr>
        <w:pStyle w:val="Style_4"/>
        <w:widowControl w:val="1"/>
        <w:ind w:firstLine="567" w:left="0"/>
        <w:jc w:val="both"/>
        <w:rPr>
          <w:rFonts w:ascii="Times New Roman" w:hAnsi="Times New Roman"/>
          <w:sz w:val="28"/>
        </w:rPr>
      </w:pPr>
    </w:p>
    <w:p w14:paraId="6C010000">
      <w:pPr>
        <w:pStyle w:val="Style_4"/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6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</w:t>
      </w:r>
    </w:p>
    <w:p w14:paraId="6E010000">
      <w:pPr>
        <w:pStyle w:val="Style_4"/>
        <w:widowControl w:val="1"/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  <w:r>
        <w:rPr>
          <w:rFonts w:ascii="Times New Roman" w:hAnsi="Times New Roman"/>
          <w:sz w:val="24"/>
        </w:rPr>
        <w:t xml:space="preserve">к  постановлению Администрации </w:t>
      </w:r>
      <w:r>
        <w:rPr>
          <w:rFonts w:ascii="Times New Roman" w:hAnsi="Times New Roman"/>
          <w:sz w:val="24"/>
        </w:rPr>
        <w:t xml:space="preserve">Кагальницкого </w:t>
      </w:r>
      <w:r>
        <w:rPr>
          <w:rFonts w:ascii="Times New Roman" w:hAnsi="Times New Roman"/>
          <w:sz w:val="24"/>
        </w:rPr>
        <w:t xml:space="preserve">сельского поселения </w:t>
      </w:r>
      <w:r>
        <w:rPr>
          <w:rFonts w:ascii="Times New Roman" w:hAnsi="Times New Roman"/>
          <w:sz w:val="24"/>
        </w:rPr>
        <w:t xml:space="preserve">Азовского района </w:t>
      </w:r>
      <w:r>
        <w:rPr>
          <w:rFonts w:ascii="Times New Roman" w:hAnsi="Times New Roman"/>
          <w:sz w:val="24"/>
        </w:rPr>
        <w:t xml:space="preserve">от 30.01.2023 </w:t>
      </w:r>
      <w:r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color w:val="FF6600"/>
          <w:sz w:val="24"/>
        </w:rPr>
        <w:t xml:space="preserve"> </w:t>
      </w:r>
      <w:r>
        <w:rPr>
          <w:rFonts w:ascii="Times New Roman" w:hAnsi="Times New Roman"/>
          <w:sz w:val="24"/>
        </w:rPr>
        <w:t>№5</w:t>
      </w:r>
      <w:r>
        <w:rPr>
          <w:rStyle w:val="Style_4_ch"/>
          <w:rFonts w:ascii="Times New Roman" w:hAnsi="Times New Roman"/>
          <w:b w:val="0"/>
          <w:sz w:val="24"/>
        </w:rPr>
        <w:t xml:space="preserve"> «ОБ ИСПОЛНЕНИИ </w:t>
      </w:r>
      <w:r>
        <w:rPr>
          <w:rStyle w:val="Style_4_ch"/>
          <w:rFonts w:ascii="Times New Roman" w:hAnsi="Times New Roman"/>
          <w:b w:val="0"/>
          <w:sz w:val="24"/>
        </w:rPr>
        <w:t xml:space="preserve">БЮДЖЕТА </w:t>
      </w:r>
    </w:p>
    <w:p w14:paraId="6F010000">
      <w:pPr>
        <w:pStyle w:val="Style_3"/>
        <w:widowControl w:val="1"/>
        <w:ind w:firstLine="0" w:left="0"/>
        <w:jc w:val="right"/>
        <w:rPr>
          <w:rFonts w:ascii="Times New Roman" w:hAnsi="Times New Roman"/>
          <w:b w:val="0"/>
          <w:sz w:val="24"/>
        </w:rPr>
      </w:pPr>
      <w:r>
        <w:rPr>
          <w:rStyle w:val="Style_4_ch"/>
          <w:rFonts w:ascii="Times New Roman" w:hAnsi="Times New Roman"/>
          <w:b w:val="0"/>
          <w:sz w:val="24"/>
        </w:rPr>
        <w:t xml:space="preserve">КАГАЛЬНИЦКОГО </w:t>
      </w:r>
      <w:r>
        <w:rPr>
          <w:rStyle w:val="Style_4_ch"/>
          <w:rFonts w:ascii="Times New Roman" w:hAnsi="Times New Roman"/>
          <w:b w:val="0"/>
          <w:sz w:val="24"/>
        </w:rPr>
        <w:t xml:space="preserve">СЕЛЬСКОГО ПОСЕЛЕНИЯ </w:t>
      </w:r>
      <w:r>
        <w:rPr>
          <w:rStyle w:val="Style_4_ch"/>
          <w:rFonts w:ascii="Times New Roman" w:hAnsi="Times New Roman"/>
          <w:b w:val="0"/>
          <w:sz w:val="24"/>
        </w:rPr>
        <w:t xml:space="preserve">АЗОВСКОГО РАЙОНА </w:t>
      </w:r>
      <w:r>
        <w:rPr>
          <w:rStyle w:val="Style_4_ch"/>
          <w:rFonts w:ascii="Times New Roman" w:hAnsi="Times New Roman"/>
          <w:b w:val="0"/>
          <w:sz w:val="24"/>
        </w:rPr>
        <w:t xml:space="preserve">ЗА </w:t>
      </w:r>
      <w:r>
        <w:rPr>
          <w:rStyle w:val="Style_4_ch"/>
          <w:rFonts w:ascii="Times New Roman" w:hAnsi="Times New Roman"/>
          <w:b w:val="0"/>
          <w:sz w:val="24"/>
        </w:rPr>
        <w:t>2022 ГОД»</w:t>
      </w:r>
    </w:p>
    <w:p w14:paraId="70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71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72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73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74010000">
      <w:pPr>
        <w:tabs>
          <w:tab w:leader="none" w:pos="6396" w:val="left"/>
          <w:tab w:leader="none" w:pos="9637" w:val="right"/>
        </w:tabs>
        <w:ind w:firstLine="567" w:left="0"/>
        <w:jc w:val="right"/>
        <w:outlineLvl w:val="0"/>
        <w:rPr>
          <w:sz w:val="28"/>
        </w:rPr>
      </w:pPr>
    </w:p>
    <w:p w14:paraId="75010000">
      <w:pPr>
        <w:spacing w:before="0"/>
        <w:ind w:firstLine="0" w:left="596" w:right="535"/>
        <w:jc w:val="center"/>
        <w:rPr>
          <w:b w:val="1"/>
          <w:sz w:val="28"/>
        </w:rPr>
      </w:pPr>
      <w:r>
        <w:rPr>
          <w:b w:val="1"/>
          <w:sz w:val="28"/>
        </w:rPr>
        <w:t>СВЕДЕНИЯ</w:t>
      </w:r>
    </w:p>
    <w:p w14:paraId="76010000">
      <w:pPr>
        <w:spacing w:before="1"/>
        <w:ind w:firstLine="0" w:left="0" w:right="345"/>
        <w:jc w:val="center"/>
        <w:rPr>
          <w:b w:val="1"/>
          <w:sz w:val="28"/>
        </w:rPr>
      </w:pPr>
      <w:r>
        <w:rPr>
          <w:b w:val="1"/>
          <w:sz w:val="28"/>
        </w:rPr>
        <w:t>о чи</w:t>
      </w:r>
      <w:r>
        <w:rPr>
          <w:b w:val="1"/>
          <w:sz w:val="28"/>
        </w:rPr>
        <w:t xml:space="preserve">сленности </w:t>
      </w:r>
      <w:r>
        <w:rPr>
          <w:b w:val="1"/>
          <w:sz w:val="28"/>
        </w:rPr>
        <w:t>муниципальных служащих</w:t>
      </w:r>
      <w:r>
        <w:rPr>
          <w:b w:val="1"/>
          <w:spacing w:val="-1"/>
          <w:sz w:val="28"/>
        </w:rPr>
        <w:t xml:space="preserve">, технического </w:t>
      </w:r>
      <w:r>
        <w:rPr>
          <w:b w:val="1"/>
          <w:spacing w:val="-1"/>
          <w:sz w:val="28"/>
        </w:rPr>
        <w:t xml:space="preserve">и обслуживающего персонала Администрации </w:t>
      </w:r>
      <w:r>
        <w:rPr>
          <w:b w:val="1"/>
          <w:spacing w:val="-1"/>
          <w:sz w:val="28"/>
        </w:rPr>
        <w:t xml:space="preserve">Кагальницкого сельского поселения </w:t>
      </w:r>
      <w:r>
        <w:rPr>
          <w:b w:val="1"/>
          <w:sz w:val="28"/>
        </w:rPr>
        <w:t>и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 xml:space="preserve">фактических </w:t>
      </w:r>
      <w:r>
        <w:rPr>
          <w:b w:val="1"/>
          <w:sz w:val="28"/>
        </w:rPr>
        <w:t>затрат на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их денежное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 xml:space="preserve">содержание </w:t>
      </w:r>
      <w:r>
        <w:rPr>
          <w:b w:val="1"/>
          <w:sz w:val="28"/>
        </w:rPr>
        <w:t xml:space="preserve">за </w:t>
      </w:r>
    </w:p>
    <w:p w14:paraId="77010000">
      <w:pPr>
        <w:spacing w:before="1"/>
        <w:ind w:firstLine="0" w:left="0" w:right="345"/>
        <w:jc w:val="center"/>
        <w:rPr>
          <w:b w:val="1"/>
          <w:sz w:val="28"/>
          <w:u w:val="single"/>
        </w:rPr>
      </w:pPr>
      <w:r>
        <w:rPr>
          <w:b w:val="1"/>
          <w:spacing w:val="-5"/>
          <w:sz w:val="28"/>
          <w:u w:val="single"/>
        </w:rPr>
        <w:t xml:space="preserve">за IV квартал </w:t>
      </w:r>
      <w:r>
        <w:rPr>
          <w:b w:val="1"/>
          <w:sz w:val="28"/>
          <w:u w:val="single"/>
        </w:rPr>
        <w:t>20</w:t>
      </w:r>
      <w:r>
        <w:rPr>
          <w:b w:val="1"/>
          <w:sz w:val="28"/>
          <w:u w:val="single"/>
        </w:rPr>
        <w:t xml:space="preserve">22 </w:t>
      </w:r>
      <w:r>
        <w:rPr>
          <w:b w:val="1"/>
          <w:sz w:val="28"/>
          <w:u w:val="single"/>
        </w:rPr>
        <w:t>года</w:t>
      </w:r>
    </w:p>
    <w:p w14:paraId="78010000">
      <w:pPr>
        <w:spacing w:before="0"/>
        <w:ind w:firstLine="0" w:left="73" w:right="2"/>
        <w:jc w:val="center"/>
        <w:rPr>
          <w:b w:val="1"/>
          <w:sz w:val="28"/>
        </w:rPr>
      </w:pPr>
      <w:r>
        <w:rPr>
          <w:b w:val="1"/>
          <w:sz w:val="28"/>
        </w:rPr>
        <w:t>(с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нарастающим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итогом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начала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года)</w:t>
      </w:r>
    </w:p>
    <w:p w14:paraId="79010000">
      <w:pPr>
        <w:spacing w:before="1"/>
        <w:ind/>
        <w:rPr>
          <w:b w:val="1"/>
        </w:rPr>
      </w:pPr>
    </w:p>
    <w:tbl>
      <w:tblPr>
        <w:tblInd w:type="dxa" w:w="11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171"/>
        <w:gridCol w:w="2400"/>
        <w:gridCol w:w="3234"/>
      </w:tblGrid>
      <w:tr>
        <w:trPr>
          <w:trHeight w:hRule="atLeast" w:val="1322"/>
          <w:hidden w:val="0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spacing w:before="96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spacing w:before="96"/>
              <w:ind w:firstLine="0" w:left="0" w:right="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Среднесписо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численность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>чел.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spacing w:before="96" w:line="240" w:lineRule="auto"/>
              <w:ind w:hanging="186" w:left="186" w:right="111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на</w:t>
            </w:r>
            <w:r>
              <w:rPr>
                <w:spacing w:val="-67"/>
                <w:sz w:val="24"/>
              </w:rPr>
              <w:t xml:space="preserve"> </w:t>
            </w:r>
            <w:r>
              <w:rPr>
                <w:sz w:val="24"/>
              </w:rPr>
              <w:t>заработную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7D010000">
            <w:pPr>
              <w:spacing w:before="96" w:line="240" w:lineRule="auto"/>
              <w:ind w:firstLine="0" w:left="0" w:right="111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</w:p>
          <w:p w14:paraId="7E010000">
            <w:pPr>
              <w:spacing w:before="96" w:line="240" w:lineRule="auto"/>
              <w:ind w:hanging="186" w:left="186" w:right="11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>
        <w:trPr>
          <w:trHeight w:hRule="atLeast" w:val="846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spacing w:before="93" w:line="240" w:lineRule="auto"/>
              <w:ind w:firstLine="283" w:left="0"/>
              <w:jc w:val="left"/>
              <w:rPr>
                <w:sz w:val="28"/>
              </w:rPr>
            </w:pPr>
            <w:r>
              <w:rPr>
                <w:rStyle w:val="Style_1_ch"/>
                <w:sz w:val="28"/>
              </w:rPr>
              <w:t>1.</w:t>
            </w:r>
            <w:r>
              <w:rPr>
                <w:rStyle w:val="Style_1_ch"/>
                <w:sz w:val="28"/>
              </w:rPr>
              <w:t xml:space="preserve"> </w:t>
            </w:r>
            <w:r>
              <w:rPr>
                <w:rStyle w:val="Style_1_ch"/>
                <w:sz w:val="28"/>
              </w:rPr>
              <w:t>Работники</w:t>
            </w:r>
            <w:r>
              <w:rPr>
                <w:rStyle w:val="Style_1_ch"/>
                <w:sz w:val="28"/>
              </w:rPr>
              <w:t xml:space="preserve"> </w:t>
            </w:r>
            <w:r>
              <w:rPr>
                <w:rStyle w:val="Style_1_ch"/>
                <w:sz w:val="28"/>
              </w:rPr>
              <w:t>органа</w:t>
            </w:r>
            <w:r>
              <w:rPr>
                <w:rStyle w:val="Style_1_ch"/>
                <w:sz w:val="28"/>
              </w:rPr>
              <w:t xml:space="preserve"> </w:t>
            </w:r>
            <w:r>
              <w:rPr>
                <w:rStyle w:val="Style_1_ch"/>
                <w:sz w:val="28"/>
              </w:rPr>
              <w:t>местного</w:t>
            </w:r>
            <w:r>
              <w:rPr>
                <w:rStyle w:val="Style_1_ch"/>
                <w:sz w:val="28"/>
              </w:rPr>
              <w:t xml:space="preserve"> </w:t>
            </w:r>
            <w:r>
              <w:rPr>
                <w:rStyle w:val="Style_1_ch"/>
                <w:sz w:val="28"/>
              </w:rPr>
              <w:t>самоуправления</w:t>
            </w:r>
            <w:r>
              <w:rPr>
                <w:rStyle w:val="Style_1_ch"/>
                <w:sz w:val="28"/>
              </w:rPr>
              <w:t xml:space="preserve"> </w:t>
            </w:r>
            <w:r>
              <w:rPr>
                <w:rStyle w:val="Style_1_ch"/>
                <w:sz w:val="28"/>
              </w:rPr>
              <w:t xml:space="preserve">Администрации Кагальницкого сельского поселения </w:t>
            </w:r>
            <w:r>
              <w:rPr>
                <w:rStyle w:val="Style_1_ch"/>
                <w:sz w:val="28"/>
              </w:rPr>
              <w:t>(всего):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6 571,4</w:t>
            </w:r>
          </w:p>
        </w:tc>
      </w:tr>
      <w:tr>
        <w:trPr>
          <w:trHeight w:hRule="atLeast" w:val="527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spacing w:before="96"/>
              <w:ind w:firstLine="283" w:left="0"/>
              <w:jc w:val="lef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5 496,2</w:t>
            </w:r>
          </w:p>
        </w:tc>
      </w:tr>
      <w:tr>
        <w:trPr>
          <w:trHeight w:hRule="atLeast" w:val="525"/>
        </w:trPr>
        <w:tc>
          <w:tcPr>
            <w:tcW w:type="dxa" w:w="4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spacing w:before="93"/>
              <w:ind w:firstLine="283" w:left="0"/>
              <w:jc w:val="lef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type="dxa" w:w="2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1075,2</w:t>
            </w:r>
          </w:p>
        </w:tc>
      </w:tr>
    </w:tbl>
    <w:p w14:paraId="88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89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8A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8B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8C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8D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jc w:val="center"/>
        <w:rPr>
          <w:b w:val="1"/>
          <w:sz w:val="28"/>
        </w:rPr>
      </w:pPr>
    </w:p>
    <w:p w14:paraId="8E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8F010000">
      <w:pPr>
        <w:ind w:firstLine="567" w:left="0"/>
        <w:rPr>
          <w:sz w:val="28"/>
        </w:rPr>
      </w:pPr>
      <w:r>
        <w:rPr>
          <w:sz w:val="28"/>
        </w:rPr>
        <w:t xml:space="preserve">Глава Администрации </w:t>
      </w:r>
    </w:p>
    <w:p w14:paraId="90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                                          </w:t>
      </w:r>
      <w:r>
        <w:rPr>
          <w:sz w:val="28"/>
        </w:rPr>
        <w:t>Малерян</w:t>
      </w:r>
      <w:r>
        <w:rPr>
          <w:sz w:val="28"/>
        </w:rPr>
        <w:t xml:space="preserve"> К.А.</w:t>
      </w:r>
    </w:p>
    <w:p w14:paraId="91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92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93010000">
      <w:pPr>
        <w:widowControl w:val="0"/>
        <w:tabs>
          <w:tab w:leader="none" w:pos="6498" w:val="center"/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p w14:paraId="94010000">
      <w:pPr>
        <w:widowControl w:val="0"/>
        <w:tabs>
          <w:tab w:leader="none" w:pos="14760" w:val="right"/>
          <w:tab w:leader="none" w:pos="15352" w:val="center"/>
        </w:tabs>
        <w:ind w:firstLine="567" w:left="0"/>
        <w:rPr>
          <w:sz w:val="28"/>
        </w:rPr>
      </w:pPr>
    </w:p>
    <w:sectPr>
      <w:pgSz w:h="16838" w:orient="portrait" w:w="11906"/>
      <w:pgMar w:bottom="426" w:footer="708" w:gutter="0" w:header="708" w:left="1135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  <w:sz w:val="20"/>
    </w:rPr>
  </w:style>
  <w:style w:styleId="Style_9_ch" w:type="character">
    <w:name w:val="ConsPlusNonformat"/>
    <w:link w:val="Style_9"/>
    <w:rPr>
      <w:rFonts w:ascii="Courier New" w:hAnsi="Courier New"/>
      <w:sz w:val="20"/>
    </w:rPr>
  </w:style>
  <w:style w:styleId="Style_10" w:type="paragraph">
    <w:name w:val="toc 6"/>
    <w:next w:val="Style_1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1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No Spacing"/>
    <w:link w:val="Style_15_ch"/>
    <w:rPr>
      <w:rFonts w:ascii="Calibri" w:hAnsi="Calibri"/>
    </w:rPr>
  </w:style>
  <w:style w:styleId="Style_15_ch" w:type="character">
    <w:name w:val="No Spacing"/>
    <w:link w:val="Style_15"/>
    <w:rPr>
      <w:rFonts w:ascii="Calibri" w:hAnsi="Calibri"/>
    </w:rPr>
  </w:style>
  <w:style w:styleId="Style_16" w:type="paragraph">
    <w:name w:val="ConsPlusDocList"/>
    <w:link w:val="Style_16_ch"/>
    <w:pPr>
      <w:widowControl w:val="0"/>
      <w:ind/>
    </w:pPr>
    <w:rPr>
      <w:rFonts w:ascii="Courier New" w:hAnsi="Courier New"/>
      <w:sz w:val="20"/>
    </w:rPr>
  </w:style>
  <w:style w:styleId="Style_16_ch" w:type="character">
    <w:name w:val="ConsPlusDocList"/>
    <w:link w:val="Style_16"/>
    <w:rPr>
      <w:rFonts w:ascii="Courier New" w:hAnsi="Courier New"/>
      <w:sz w:val="20"/>
    </w:rPr>
  </w:style>
  <w:style w:styleId="Style_17" w:type="paragraph">
    <w:name w:val="ConsPlusCell"/>
    <w:link w:val="Style_17_ch"/>
    <w:pPr>
      <w:widowControl w:val="0"/>
      <w:ind/>
    </w:pPr>
    <w:rPr>
      <w:rFonts w:ascii="Arial" w:hAnsi="Arial"/>
      <w:sz w:val="20"/>
    </w:rPr>
  </w:style>
  <w:style w:styleId="Style_17_ch" w:type="character">
    <w:name w:val="ConsPlusCell"/>
    <w:link w:val="Style_17"/>
    <w:rPr>
      <w:rFonts w:ascii="Arial" w:hAnsi="Arial"/>
      <w:sz w:val="20"/>
    </w:rPr>
  </w:style>
  <w:style w:styleId="Style_18" w:type="paragraph">
    <w:name w:val="toc 3"/>
    <w:next w:val="Style_1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heading 1"/>
    <w:next w:val="Style_1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</w:rPr>
  </w:style>
  <w:style w:styleId="Style_24_ch" w:type="character">
    <w:name w:val="Footnote"/>
    <w:link w:val="Style_24"/>
    <w:rPr>
      <w:rFonts w:ascii="XO Thames" w:hAnsi="XO Thames"/>
    </w:rPr>
  </w:style>
  <w:style w:styleId="Style_25" w:type="paragraph">
    <w:name w:val="toc 1"/>
    <w:next w:val="Style_1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Гиперссылка2"/>
    <w:link w:val="Style_27_ch"/>
    <w:rPr>
      <w:color w:val="0000FF"/>
      <w:u w:val="single"/>
    </w:rPr>
  </w:style>
  <w:style w:styleId="Style_27_ch" w:type="character">
    <w:name w:val="Гиперссылка2"/>
    <w:link w:val="Style_27"/>
    <w:rPr>
      <w:color w:val="0000FF"/>
      <w:u w:val="single"/>
    </w:rPr>
  </w:style>
  <w:style w:styleId="Style_28" w:type="paragraph">
    <w:name w:val="toc 9"/>
    <w:next w:val="Style_1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header"/>
    <w:basedOn w:val="Style_1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1_ch"/>
    <w:link w:val="Style_29"/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toc 8"/>
    <w:next w:val="Style_1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32" w:type="paragraph">
    <w:name w:val="toc 5"/>
    <w:next w:val="Style_1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33" w:type="paragraph">
    <w:name w:val="footer"/>
    <w:basedOn w:val="Style_1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1_ch"/>
    <w:link w:val="Style_33"/>
  </w:style>
  <w:style w:styleId="Style_34" w:type="paragraph">
    <w:name w:val="Balloon Text"/>
    <w:basedOn w:val="Style_1"/>
    <w:link w:val="Style_34_ch"/>
    <w:rPr>
      <w:rFonts w:ascii="Tahoma" w:hAnsi="Tahoma"/>
      <w:sz w:val="16"/>
    </w:rPr>
  </w:style>
  <w:style w:styleId="Style_34_ch" w:type="character">
    <w:name w:val="Balloon Text"/>
    <w:basedOn w:val="Style_1_ch"/>
    <w:link w:val="Style_34"/>
    <w:rPr>
      <w:rFonts w:ascii="Tahoma" w:hAnsi="Tahoma"/>
      <w:sz w:val="16"/>
    </w:rPr>
  </w:style>
  <w:style w:styleId="Style_2" w:type="paragraph">
    <w:name w:val="Subtitle"/>
    <w:next w:val="Style_1"/>
    <w:link w:val="Style_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_ch" w:type="character">
    <w:name w:val="Subtitle"/>
    <w:link w:val="Style_2"/>
    <w:rPr>
      <w:rFonts w:ascii="XO Thames" w:hAnsi="XO Thames"/>
      <w:i w:val="1"/>
      <w:sz w:val="24"/>
    </w:rPr>
  </w:style>
  <w:style w:styleId="Style_35" w:type="paragraph">
    <w:name w:val="Title"/>
    <w:next w:val="Style_1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5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2023-02-22T08:17:14Z</dcterms:modified>
</cp:coreProperties>
</file>