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«29» декабря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№ 205</w:t>
      </w:r>
      <w:r>
        <w:rPr>
          <w:sz w:val="28"/>
        </w:rPr>
        <w:t xml:space="preserve">                                                с. Кагальник</w:t>
      </w:r>
    </w:p>
    <w:p w14:paraId="0C000000">
      <w:pPr>
        <w:rPr>
          <w:rFonts w:ascii="Times New Roman" w:hAnsi="Times New Roman"/>
          <w:sz w:val="28"/>
        </w:rPr>
      </w:pPr>
    </w:p>
    <w:p w14:paraId="0D000000">
      <w:pPr>
        <w:pStyle w:val="Style_3"/>
        <w:ind w:right="4506"/>
      </w:pPr>
      <w:r>
        <w:t xml:space="preserve"> </w:t>
      </w:r>
    </w:p>
    <w:p w14:paraId="0E000000">
      <w:pPr>
        <w:ind w:right="4790"/>
        <w:contextualSpacing w:val="1"/>
        <w:rPr>
          <w:b w:val="1"/>
        </w:rPr>
      </w:pPr>
      <w:r>
        <w:rPr>
          <w:b w:val="1"/>
        </w:rPr>
        <w:t>О внесении изменений в постановление Администрации Кагальницкого сельского поселения от  24.02.2021г. №49 «</w:t>
      </w:r>
      <w:r>
        <w:rPr>
          <w:b w:val="1"/>
        </w:rPr>
        <w:t>Об утверждении бюджетного прогноза Кагальницкого сельского поселения на период</w:t>
      </w:r>
      <w:r>
        <w:rPr>
          <w:b w:val="1"/>
        </w:rPr>
        <w:t xml:space="preserve"> 2021 </w:t>
      </w:r>
      <w:r>
        <w:rPr>
          <w:b w:val="1"/>
        </w:rPr>
        <w:t>– 202</w:t>
      </w:r>
      <w:r>
        <w:rPr>
          <w:b w:val="1"/>
        </w:rPr>
        <w:t>6</w:t>
      </w:r>
      <w:r>
        <w:rPr>
          <w:b w:val="1"/>
        </w:rPr>
        <w:t xml:space="preserve"> год</w:t>
      </w:r>
      <w:r>
        <w:rPr>
          <w:b w:val="1"/>
        </w:rPr>
        <w:t>ов»</w:t>
      </w:r>
    </w:p>
    <w:p w14:paraId="0F000000">
      <w:pPr>
        <w:spacing w:after="37" w:before="37"/>
        <w:ind w:firstLine="567" w:left="0"/>
        <w:jc w:val="both"/>
      </w:pPr>
    </w:p>
    <w:p w14:paraId="10000000">
      <w:pPr>
        <w:spacing w:after="37" w:before="37"/>
        <w:ind w:firstLine="567" w:left="0"/>
        <w:jc w:val="both"/>
        <w:rPr/>
      </w:pPr>
      <w:r>
        <w:t xml:space="preserve">В соответствии с Постановлением Администрации Кагальницкого сельского поселения от </w:t>
      </w:r>
      <w:r>
        <w:t>18.01.2016г. №7</w:t>
      </w:r>
      <w:r>
        <w:t xml:space="preserve"> «Об утверждении Правил разработки и утверждения бюджетного прогноза Кагальницкого сельского поселения Азовского района Ростовской области на долгосрочный период», Постановлением Администрации Кагальницкого сельского поселения от </w:t>
      </w:r>
      <w:r>
        <w:t>30.12.2020г. №146</w:t>
      </w:r>
      <w:r>
        <w:t xml:space="preserve"> «О внесении изменений в Постановление Администрации Кагальницкого сельского поселения от </w:t>
      </w:r>
      <w:r>
        <w:t>18.01.2016г. №7</w:t>
      </w:r>
      <w:r>
        <w:t xml:space="preserve"> «Об утверждении Правил разработки и утверждения бюджетного прогноза Кагальницкого сельского поселения Азовского района Ростовской области на долгосрочный период», </w:t>
      </w:r>
      <w:r>
        <w:rPr/>
        <w:t>Постановлением</w:t>
      </w:r>
      <w:r>
        <w:rPr/>
        <w:t xml:space="preserve"> администрации</w:t>
      </w:r>
      <w:r>
        <w:rPr/>
        <w:t xml:space="preserve"> </w:t>
      </w:r>
      <w:r>
        <w:rPr/>
        <w:t>Кагальницкого сельского поселения</w:t>
      </w:r>
      <w:r>
        <w:rPr/>
        <w:t xml:space="preserve"> Азовского района </w:t>
      </w:r>
      <w:r>
        <w:rPr/>
        <w:t xml:space="preserve">от </w:t>
      </w:r>
      <w:r>
        <w:rPr/>
        <w:t>15</w:t>
      </w:r>
      <w:r>
        <w:rPr/>
        <w:t>.</w:t>
      </w:r>
      <w:r>
        <w:rPr/>
        <w:t>09</w:t>
      </w:r>
      <w:r>
        <w:rPr/>
        <w:t>.20</w:t>
      </w:r>
      <w:r>
        <w:rPr/>
        <w:t xml:space="preserve">23 </w:t>
      </w:r>
      <w:r>
        <w:rPr/>
        <w:t xml:space="preserve">№ </w:t>
      </w:r>
      <w:r>
        <w:rPr/>
        <w:t>120</w:t>
      </w:r>
      <w:r>
        <w:rPr/>
        <w:t xml:space="preserve"> </w:t>
      </w:r>
      <w:r>
        <w:rPr>
          <w:spacing w:val="-4"/>
        </w:rPr>
        <w:t xml:space="preserve">«О прогнозе социально-экономического развития </w:t>
      </w:r>
      <w:r>
        <w:rPr/>
        <w:t xml:space="preserve">Кагальницкого сельского поселения </w:t>
      </w:r>
      <w:r>
        <w:rPr>
          <w:spacing w:val="-4"/>
        </w:rPr>
        <w:t xml:space="preserve">Азовского района </w:t>
      </w:r>
      <w:r>
        <w:rPr>
          <w:spacing w:val="-4"/>
        </w:rPr>
        <w:t>на 2023 год и плановый период 2024-2025 годов</w:t>
      </w:r>
      <w:r>
        <w:rPr>
          <w:spacing w:val="-4"/>
        </w:rPr>
        <w:t>»,</w:t>
      </w:r>
    </w:p>
    <w:p w14:paraId="11000000">
      <w:pPr>
        <w:spacing w:after="37" w:before="37"/>
        <w:ind/>
        <w:jc w:val="center"/>
      </w:pPr>
      <w:r>
        <w:t>ПОСТАНОВЛЯЮ:</w:t>
      </w:r>
    </w:p>
    <w:p w14:paraId="12000000">
      <w:pPr>
        <w:ind w:firstLine="709" w:left="0"/>
        <w:jc w:val="both"/>
      </w:pPr>
    </w:p>
    <w:p w14:paraId="13000000">
      <w:pPr>
        <w:ind w:firstLine="709" w:left="0"/>
        <w:jc w:val="both"/>
      </w:pPr>
      <w:r>
        <w:t>1. </w:t>
      </w:r>
      <w:r>
        <w:t xml:space="preserve">Приложение к постановлению Администрации Кагальницкого сельского поселения от 24.02.2021 года №49 «Об утверждении бюджетного прогноза Кагальницкого сельского поселения на период 2021-2026 годов» изложить в новой редакции согласно </w:t>
      </w:r>
      <w:r>
        <w:t xml:space="preserve">приложению </w:t>
      </w:r>
      <w:r>
        <w:t xml:space="preserve">к настоящему постановлению. </w:t>
      </w:r>
    </w:p>
    <w:p w14:paraId="14000000">
      <w:pPr>
        <w:ind w:firstLine="709" w:left="0"/>
        <w:jc w:val="both"/>
      </w:pPr>
      <w:r>
        <w:t>2. Настоящее постановление подлежит размещению на официальном сайте Администрации Кагальницкого сельского поселения Азовского района.</w:t>
      </w:r>
    </w:p>
    <w:p w14:paraId="15000000">
      <w:pPr>
        <w:widowControl w:val="0"/>
        <w:spacing w:line="228" w:lineRule="auto"/>
        <w:ind/>
      </w:pPr>
    </w:p>
    <w:p w14:paraId="16000000">
      <w:pPr>
        <w:widowControl w:val="0"/>
        <w:spacing w:line="228" w:lineRule="auto"/>
        <w:ind/>
      </w:pPr>
    </w:p>
    <w:p w14:paraId="17000000">
      <w:pPr>
        <w:widowControl w:val="0"/>
        <w:spacing w:line="228" w:lineRule="auto"/>
        <w:ind/>
      </w:pPr>
    </w:p>
    <w:p w14:paraId="18000000">
      <w:pPr>
        <w:widowControl w:val="0"/>
        <w:spacing w:line="228" w:lineRule="auto"/>
        <w:ind/>
      </w:pPr>
      <w:r>
        <w:t>Глава Администрации</w:t>
      </w:r>
    </w:p>
    <w:p w14:paraId="19000000">
      <w:pPr>
        <w:widowControl w:val="0"/>
        <w:spacing w:line="228" w:lineRule="auto"/>
        <w:ind/>
      </w:pPr>
      <w:r>
        <w:t>Кагальницкого сельского поселения                                      К.А. Малерян</w:t>
      </w:r>
    </w:p>
    <w:p w14:paraId="1A000000">
      <w:pPr>
        <w:widowControl w:val="0"/>
        <w:spacing w:line="228" w:lineRule="auto"/>
        <w:ind/>
      </w:pPr>
    </w:p>
    <w:p w14:paraId="1B000000">
      <w:pPr>
        <w:sectPr>
          <w:pgSz w:h="16840" w:orient="portrait" w:w="11907"/>
          <w:pgMar w:bottom="1135" w:footer="720" w:gutter="0" w:header="720" w:left="1304" w:right="708" w:top="993"/>
        </w:sectPr>
      </w:pPr>
    </w:p>
    <w:p w14:paraId="1C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Приложение к </w:t>
      </w:r>
      <w:r>
        <w:rPr>
          <w:sz w:val="22"/>
        </w:rPr>
        <w:t>п</w:t>
      </w:r>
      <w:r>
        <w:rPr>
          <w:sz w:val="22"/>
        </w:rPr>
        <w:t>остановлени</w:t>
      </w:r>
      <w:r>
        <w:rPr>
          <w:sz w:val="22"/>
        </w:rPr>
        <w:t>ю</w:t>
      </w:r>
      <w:r>
        <w:rPr>
          <w:sz w:val="22"/>
        </w:rPr>
        <w:t xml:space="preserve"> Администрации</w:t>
      </w:r>
    </w:p>
    <w:p w14:paraId="1D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Кагальницкого сельского поселения от 29.12.2023 №205 </w:t>
      </w:r>
      <w:r>
        <w:rPr>
          <w:sz w:val="22"/>
        </w:rPr>
        <w:t xml:space="preserve"> </w:t>
      </w:r>
    </w:p>
    <w:p w14:paraId="1E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«О внесении изменений в постановление </w:t>
      </w:r>
    </w:p>
    <w:p w14:paraId="1F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Администрации Кагальницкого сельского поселения </w:t>
      </w:r>
    </w:p>
    <w:p w14:paraId="20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от  24.02.2021г. №49 «Об утверждении бюджетного прогноза </w:t>
      </w:r>
    </w:p>
    <w:p w14:paraId="21000000">
      <w:pPr>
        <w:widowControl w:val="0"/>
        <w:ind/>
        <w:jc w:val="right"/>
        <w:rPr>
          <w:sz w:val="22"/>
        </w:rPr>
      </w:pPr>
      <w:r>
        <w:rPr>
          <w:sz w:val="22"/>
        </w:rPr>
        <w:t>Кагальницкого сельского поселения на период 2021 – 2026 годов»</w:t>
      </w:r>
    </w:p>
    <w:p w14:paraId="22000000">
      <w:pPr>
        <w:widowControl w:val="0"/>
        <w:ind/>
        <w:jc w:val="right"/>
      </w:pPr>
    </w:p>
    <w:p w14:paraId="23000000">
      <w:pPr>
        <w:widowControl w:val="0"/>
        <w:ind/>
        <w:jc w:val="center"/>
        <w:rPr>
          <w:b w:val="1"/>
        </w:rPr>
      </w:pPr>
      <w:r>
        <w:rPr>
          <w:b w:val="1"/>
        </w:rPr>
        <w:t>Бюджетный прогноз Кагальницкого сельского поселения на период 202</w:t>
      </w:r>
      <w:r>
        <w:rPr>
          <w:b w:val="1"/>
        </w:rPr>
        <w:t>1</w:t>
      </w:r>
      <w:r>
        <w:rPr>
          <w:b w:val="1"/>
        </w:rPr>
        <w:t xml:space="preserve"> – 202</w:t>
      </w:r>
      <w:r>
        <w:rPr>
          <w:b w:val="1"/>
        </w:rPr>
        <w:t>6</w:t>
      </w:r>
      <w:r>
        <w:rPr>
          <w:b w:val="1"/>
        </w:rPr>
        <w:t xml:space="preserve"> год</w:t>
      </w:r>
      <w:r>
        <w:rPr>
          <w:b w:val="1"/>
        </w:rPr>
        <w:t>ов</w:t>
      </w:r>
    </w:p>
    <w:p w14:paraId="24000000">
      <w:pPr>
        <w:widowControl w:val="0"/>
        <w:ind w:firstLine="680" w:left="0"/>
        <w:jc w:val="center"/>
      </w:pPr>
    </w:p>
    <w:p w14:paraId="25000000">
      <w:pPr>
        <w:ind w:firstLine="709" w:left="0"/>
      </w:pPr>
      <w:r>
        <w:t>1. О</w:t>
      </w:r>
      <w:r>
        <w:t>сновные параметры варианта долгосрочного прогноза, а также иных показателей социально-экономического развития Кагальницкого сельского поселения Азовского района, определенных в качестве базовых для целей долгосрочного бюджетного планирования:</w:t>
      </w:r>
    </w:p>
    <w:p w14:paraId="26000000">
      <w:pPr>
        <w:ind w:firstLine="680" w:left="0"/>
        <w:jc w:val="center"/>
      </w:pPr>
    </w:p>
    <w:tbl>
      <w:tblPr>
        <w:tblStyle w:val="Style_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6679"/>
        <w:gridCol w:w="1413"/>
        <w:gridCol w:w="1399"/>
        <w:gridCol w:w="1392"/>
        <w:gridCol w:w="9"/>
        <w:gridCol w:w="1384"/>
        <w:gridCol w:w="22"/>
        <w:gridCol w:w="1282"/>
        <w:gridCol w:w="32"/>
        <w:gridCol w:w="1282"/>
      </w:tblGrid>
      <w:tr>
        <w:trPr>
          <w:tblHeader/>
        </w:trPr>
        <w:tc>
          <w:tcPr>
            <w:tcW w:type="dxa" w:w="6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821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widowControl w:val="0"/>
              <w:ind/>
              <w:jc w:val="center"/>
            </w:pPr>
            <w:r>
              <w:t>Год периода прогнозирования</w:t>
            </w:r>
          </w:p>
        </w:tc>
      </w:tr>
      <w:tr>
        <w:trPr>
          <w:tblHeader/>
        </w:trPr>
        <w:tc>
          <w:tcPr>
            <w:tcW w:type="dxa" w:w="6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widowControl w:val="0"/>
              <w:ind/>
              <w:jc w:val="center"/>
            </w:pPr>
            <w:r>
              <w:t>2021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14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widowControl w:val="0"/>
              <w:ind/>
              <w:jc w:val="center"/>
            </w:pPr>
            <w:r>
              <w:t>2023</w:t>
            </w:r>
          </w:p>
        </w:tc>
        <w:tc>
          <w:tcPr>
            <w:tcW w:type="dxa" w:w="14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widowControl w:val="0"/>
              <w:ind/>
              <w:jc w:val="center"/>
            </w:pPr>
            <w:r>
              <w:t>2024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widowControl w:val="0"/>
              <w:ind/>
              <w:jc w:val="center"/>
            </w:pPr>
            <w:r>
              <w:t>2025</w:t>
            </w:r>
          </w:p>
        </w:tc>
        <w:tc>
          <w:tcPr>
            <w:tcW w:type="dxa" w:w="13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widowControl w:val="0"/>
              <w:ind/>
              <w:jc w:val="center"/>
            </w:pPr>
            <w:r>
              <w:t>2026</w:t>
            </w:r>
          </w:p>
        </w:tc>
      </w:tr>
      <w:tr>
        <w:trPr>
          <w:trHeight w:hRule="atLeast" w:val="251"/>
          <w:tblHeader/>
        </w:trP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r>
              <w:t>Численность работников сельского поселения, чел.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widowControl w:val="0"/>
              <w:ind/>
              <w:jc w:val="center"/>
            </w:pPr>
            <w:r>
              <w:t>1109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widowControl w:val="0"/>
              <w:ind/>
              <w:jc w:val="center"/>
            </w:pPr>
            <w:r>
              <w:t>1109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widowControl w:val="0"/>
              <w:ind/>
              <w:jc w:val="center"/>
            </w:pPr>
            <w:r>
              <w:t>1109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widowControl w:val="0"/>
              <w:ind/>
              <w:jc w:val="center"/>
            </w:pPr>
            <w:r>
              <w:t>1109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widowControl w:val="0"/>
              <w:ind/>
              <w:jc w:val="center"/>
            </w:pPr>
            <w:r>
              <w:t>1109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widowControl w:val="0"/>
              <w:ind/>
              <w:jc w:val="center"/>
            </w:pPr>
            <w:r>
              <w:t>1109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r>
              <w:t>Среднемесячная начисленная заработная плата, рублей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widowControl w:val="0"/>
              <w:ind/>
              <w:jc w:val="center"/>
            </w:pPr>
            <w:r>
              <w:t>34 176,54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widowControl w:val="0"/>
              <w:ind/>
              <w:jc w:val="center"/>
            </w:pPr>
            <w:r>
              <w:t>35 527,00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widowControl w:val="0"/>
              <w:ind/>
              <w:jc w:val="center"/>
            </w:pPr>
            <w:r>
              <w:t>37 200,00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widowControl w:val="0"/>
              <w:ind/>
              <w:jc w:val="center"/>
            </w:pPr>
            <w:r>
              <w:t>39 200,00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widowControl w:val="0"/>
              <w:ind/>
              <w:jc w:val="center"/>
            </w:pPr>
            <w:r>
              <w:t>41 459,00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ind/>
              <w:jc w:val="center"/>
            </w:pPr>
            <w:r>
              <w:t>41459,0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r>
              <w:t>Фонд заработной платы по территории сельского поселения, тыс. рублей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widowControl w:val="0"/>
              <w:ind/>
              <w:jc w:val="center"/>
            </w:pPr>
            <w:r>
              <w:t>454 821,43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widowControl w:val="0"/>
              <w:ind/>
              <w:jc w:val="center"/>
            </w:pPr>
            <w:r>
              <w:t>472 793,35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ind/>
              <w:jc w:val="center"/>
            </w:pPr>
            <w:r>
              <w:t>495 057,63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ind/>
              <w:jc w:val="center"/>
            </w:pPr>
            <w:r>
              <w:t>521 673,61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551 736,4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ind/>
              <w:jc w:val="center"/>
            </w:pPr>
            <w:r>
              <w:t>551 736,4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r>
              <w:t>Прибыль прибыльных предприятий, тыс. рублей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ind/>
              <w:jc w:val="center"/>
            </w:pPr>
            <w:r>
              <w:t>50 322,0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ind/>
              <w:jc w:val="center"/>
            </w:pPr>
            <w:r>
              <w:t>232 231,0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widowControl w:val="0"/>
              <w:ind/>
              <w:jc w:val="center"/>
            </w:pPr>
            <w:r>
              <w:t>238 667,0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widowControl w:val="0"/>
              <w:ind/>
              <w:jc w:val="center"/>
            </w:pPr>
            <w:r>
              <w:t>245 244,0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widowControl w:val="0"/>
              <w:ind/>
              <w:jc w:val="center"/>
            </w:pPr>
            <w:r>
              <w:t>252 573,0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widowControl w:val="0"/>
              <w:ind/>
              <w:jc w:val="center"/>
            </w:pPr>
            <w:r>
              <w:t>252 573,0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r>
              <w:t>Темпы роста прибыли по всем видам деятельности, %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widowControl w:val="0"/>
              <w:ind/>
              <w:jc w:val="center"/>
            </w:pPr>
            <w:r>
              <w:t>37,7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widowControl w:val="0"/>
              <w:ind/>
              <w:jc w:val="center"/>
            </w:pPr>
            <w:r>
              <w:t>521,2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ind/>
              <w:jc w:val="center"/>
            </w:pPr>
            <w:r>
              <w:t>102,8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ind/>
              <w:jc w:val="center"/>
            </w:pPr>
            <w:r>
              <w:t>102,8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widowControl w:val="0"/>
              <w:ind/>
              <w:jc w:val="center"/>
            </w:pPr>
            <w:r>
              <w:t>103,0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widowControl w:val="0"/>
              <w:ind/>
              <w:jc w:val="center"/>
            </w:pPr>
            <w:r>
              <w:t>103,0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r>
              <w:t>Число бюджетообразующих предприятий</w:t>
            </w:r>
            <w:r>
              <w:t>, шт.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ind/>
              <w:jc w:val="center"/>
            </w:pPr>
            <w:r>
              <w:t>3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ind/>
              <w:jc w:val="center"/>
            </w:pPr>
          </w:p>
        </w:tc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ind/>
              <w:jc w:val="center"/>
            </w:pPr>
            <w:r>
              <w:t>3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ind/>
              <w:jc w:val="center"/>
            </w:pPr>
            <w:r>
              <w:t>3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ind/>
              <w:jc w:val="center"/>
            </w:pPr>
            <w:r>
              <w:t>3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r>
              <w:t>Инвестиции в основной капитал по полному кругу предприятий за счет всех источников финансирования, млн. руб., всего, из них: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widowControl w:val="0"/>
              <w:ind/>
              <w:jc w:val="center"/>
            </w:pPr>
            <w:r>
              <w:t>7 540,4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widowControl w:val="0"/>
              <w:ind/>
              <w:jc w:val="center"/>
            </w:pPr>
            <w:r>
              <w:t>7 516,8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ind/>
              <w:jc w:val="center"/>
            </w:pPr>
            <w:r>
              <w:t>1 022,9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ind/>
              <w:jc w:val="center"/>
            </w:pPr>
            <w:r>
              <w:t>0,06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ind/>
              <w:jc w:val="center"/>
            </w:pPr>
            <w:r>
              <w:t>0,01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ind/>
              <w:jc w:val="center"/>
            </w:pPr>
            <w:r>
              <w:t>0,01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r>
              <w:t>- инвестиции в основной капитал субъектов малого предпринимательства, млн. руб.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ind/>
              <w:jc w:val="center"/>
            </w:pPr>
            <w:r>
              <w:t>0,00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ind/>
              <w:jc w:val="center"/>
            </w:pPr>
            <w:r>
              <w:t>0,00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r>
              <w:t>- неформальная экономическая деятельность, включая средства  на индивидуальное строительство, млн. руб.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widowControl w:val="0"/>
              <w:ind/>
              <w:jc w:val="center"/>
            </w:pPr>
            <w:r>
              <w:t>0,00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widowControl w:val="0"/>
              <w:ind/>
              <w:jc w:val="center"/>
            </w:pPr>
            <w:r>
              <w:t>0,00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ind/>
              <w:jc w:val="center"/>
            </w:pPr>
            <w:r>
              <w:t>0,00</w:t>
            </w:r>
          </w:p>
        </w:tc>
      </w:tr>
      <w:tr>
        <w:tc>
          <w:tcPr>
            <w:tcW w:type="dxa" w:w="6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r>
              <w:t>- инвестиции в основной капитал крупных и средних предприятий за счет всех источников финансирования, млн. руб.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widowControl w:val="0"/>
              <w:ind/>
              <w:jc w:val="center"/>
            </w:pPr>
            <w:r>
              <w:t>7 540,4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widowControl w:val="0"/>
              <w:ind/>
              <w:jc w:val="center"/>
            </w:pPr>
            <w:r>
              <w:t>7 516,8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ind/>
              <w:jc w:val="center"/>
            </w:pPr>
            <w:r>
              <w:t>1 022,9</w:t>
            </w:r>
          </w:p>
        </w:tc>
        <w:tc>
          <w:tcPr>
            <w:tcW w:type="dxa" w:w="1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ind/>
              <w:jc w:val="center"/>
            </w:pPr>
            <w:r>
              <w:t>0,06</w:t>
            </w:r>
          </w:p>
        </w:tc>
        <w:tc>
          <w:tcPr>
            <w:tcW w:type="dxa" w:w="13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ind/>
              <w:jc w:val="center"/>
            </w:pPr>
            <w:r>
              <w:t>0,01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ind/>
              <w:jc w:val="center"/>
            </w:pPr>
            <w:r>
              <w:t>0,01</w:t>
            </w:r>
          </w:p>
        </w:tc>
      </w:tr>
    </w:tbl>
    <w:p w14:paraId="7D000000">
      <w:pPr>
        <w:widowControl w:val="0"/>
        <w:ind/>
      </w:pPr>
    </w:p>
    <w:p w14:paraId="7E000000">
      <w:pPr>
        <w:widowControl w:val="0"/>
        <w:ind/>
      </w:pPr>
    </w:p>
    <w:p w14:paraId="7F000000">
      <w:pPr>
        <w:pageBreakBefore w:val="1"/>
        <w:widowControl w:val="0"/>
        <w:ind/>
        <w:jc w:val="center"/>
        <w:outlineLvl w:val="2"/>
        <w:rPr>
          <w:b w:val="1"/>
        </w:rPr>
      </w:pPr>
      <w:r>
        <w:rPr>
          <w:b w:val="1"/>
        </w:rPr>
        <w:t>2. Прогноз основных характеристик бюджета Кагальницкого сельского поселения Азовского района</w:t>
      </w:r>
    </w:p>
    <w:p w14:paraId="80000000">
      <w:pPr>
        <w:pageBreakBefore w:val="1"/>
        <w:widowControl w:val="0"/>
        <w:ind/>
        <w:jc w:val="center"/>
        <w:outlineLvl w:val="2"/>
        <w:rPr>
          <w:b w:val="1"/>
        </w:rPr>
      </w:pPr>
    </w:p>
    <w:p w14:paraId="81000000">
      <w:pPr>
        <w:pageBreakBefore w:val="1"/>
        <w:widowControl w:val="0"/>
        <w:ind/>
        <w:jc w:val="center"/>
        <w:outlineLvl w:val="2"/>
        <w:rPr>
          <w:b w:val="1"/>
          <w:sz w:val="24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24"/>
        </w:rPr>
        <w:t xml:space="preserve">    (тыс. рублей)</w:t>
      </w:r>
    </w:p>
    <w:tbl>
      <w:tblPr>
        <w:tblStyle w:val="Style_4"/>
        <w:tblInd w:type="dxa" w:w="927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221"/>
        <w:gridCol w:w="1418"/>
        <w:gridCol w:w="1421"/>
        <w:gridCol w:w="1419"/>
        <w:gridCol w:w="1418"/>
        <w:gridCol w:w="1277"/>
        <w:gridCol w:w="1280"/>
      </w:tblGrid>
      <w:tr>
        <w:tc>
          <w:tcPr>
            <w:tcW w:type="dxa" w:w="42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823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3000000">
            <w:pPr>
              <w:widowControl w:val="0"/>
              <w:ind/>
              <w:jc w:val="center"/>
            </w:pPr>
            <w:r>
              <w:t>Год периода прогнозирования</w:t>
            </w:r>
          </w:p>
        </w:tc>
      </w:tr>
      <w:tr>
        <w:tc>
          <w:tcPr>
            <w:tcW w:type="dxa" w:w="42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widowControl w:val="0"/>
              <w:ind/>
              <w:jc w:val="center"/>
            </w:pPr>
            <w:r>
              <w:t>2021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widowControl w:val="0"/>
              <w:ind/>
              <w:jc w:val="center"/>
            </w:pPr>
            <w:r>
              <w:t>2022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widowControl w:val="0"/>
              <w:ind/>
              <w:jc w:val="center"/>
            </w:pPr>
            <w:r>
              <w:t>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widowControl w:val="0"/>
              <w:ind/>
              <w:jc w:val="center"/>
            </w:pPr>
            <w:r>
              <w:t>2024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widowControl w:val="0"/>
              <w:ind/>
              <w:jc w:val="center"/>
            </w:pPr>
            <w:r>
              <w:t>2025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ind/>
              <w:jc w:val="center"/>
            </w:pPr>
            <w:r>
              <w:t>2026</w:t>
            </w:r>
          </w:p>
        </w:tc>
      </w:tr>
      <w:tr>
        <w:trPr>
          <w:trHeight w:hRule="atLeast" w:val="225"/>
        </w:trP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225"/>
        </w:trPr>
        <w:tc>
          <w:tcPr>
            <w:tcW w:type="dxa" w:w="1245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widowControl w:val="0"/>
              <w:ind/>
              <w:jc w:val="center"/>
            </w:pPr>
            <w:r>
              <w:t>Показатели бюджета Кагальницкого сельского поселения Азовского района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widowControl w:val="0"/>
              <w:ind/>
            </w:pPr>
            <w:r>
              <w:t>Доходы, в том числе: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ind/>
              <w:jc w:val="center"/>
            </w:pPr>
            <w:r>
              <w:t>4</w:t>
            </w:r>
            <w:r>
              <w:t>6</w:t>
            </w:r>
            <w:r>
              <w:t> </w:t>
            </w:r>
            <w:r>
              <w:t>6</w:t>
            </w:r>
            <w:r>
              <w:t>75,4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ind/>
              <w:jc w:val="center"/>
            </w:pPr>
            <w:r>
              <w:t>31 342,7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widowControl w:val="0"/>
              <w:ind/>
              <w:jc w:val="center"/>
            </w:pPr>
            <w:r>
              <w:t>23 541,3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ind/>
              <w:jc w:val="center"/>
            </w:pPr>
            <w:r>
              <w:t>28 706,4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ind/>
              <w:jc w:val="center"/>
            </w:pPr>
            <w:r>
              <w:t>29 783,0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ind/>
              <w:jc w:val="center"/>
            </w:pPr>
            <w:r>
              <w:t>31 199,2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widowControl w:val="0"/>
              <w:ind/>
            </w:pPr>
            <w:r>
              <w:t>налоговые и неналоговые доходы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widowControl w:val="0"/>
              <w:ind/>
              <w:jc w:val="center"/>
            </w:pPr>
            <w:r>
              <w:t>11 163,3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widowControl w:val="0"/>
              <w:ind/>
              <w:jc w:val="center"/>
            </w:pPr>
            <w:r>
              <w:t>12 358,1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widowControl w:val="0"/>
              <w:ind/>
              <w:jc w:val="center"/>
            </w:pPr>
            <w:r>
              <w:t>13 133,8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ind/>
              <w:jc w:val="center"/>
            </w:pPr>
            <w:r>
              <w:t>14 493,7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ind/>
              <w:jc w:val="center"/>
            </w:pPr>
            <w:r>
              <w:t>15 078,1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ind/>
              <w:jc w:val="center"/>
            </w:pPr>
            <w:r>
              <w:t>15 764,4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widowControl w:val="0"/>
              <w:ind/>
            </w:pPr>
            <w:r>
              <w:t xml:space="preserve">безвозмездные поступления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widowControl w:val="0"/>
              <w:ind/>
              <w:jc w:val="center"/>
            </w:pPr>
            <w:r>
              <w:t>35 512,1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widowControl w:val="0"/>
              <w:ind/>
              <w:jc w:val="center"/>
            </w:pPr>
            <w:r>
              <w:t>18 984,6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widowControl w:val="0"/>
              <w:ind/>
              <w:jc w:val="center"/>
            </w:pPr>
            <w:r>
              <w:t>10 407,5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ind/>
              <w:jc w:val="center"/>
            </w:pPr>
            <w:r>
              <w:t>14 212,7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ind/>
              <w:jc w:val="center"/>
            </w:pPr>
            <w:r>
              <w:t>14 704,9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ind/>
              <w:jc w:val="center"/>
            </w:pPr>
            <w:r>
              <w:t>15 434,8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widowControl w:val="0"/>
              <w:ind/>
            </w:pPr>
            <w:r>
              <w:t>Расходы бюджета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widowControl w:val="0"/>
              <w:ind/>
              <w:jc w:val="center"/>
            </w:pPr>
            <w:r>
              <w:t>50 202,1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widowControl w:val="0"/>
              <w:ind/>
              <w:jc w:val="center"/>
            </w:pPr>
            <w:r>
              <w:t>30 521,2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widowControl w:val="0"/>
              <w:ind/>
              <w:jc w:val="center"/>
            </w:pPr>
            <w:r>
              <w:t>24 776,6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ind/>
              <w:jc w:val="center"/>
            </w:pPr>
            <w:r>
              <w:t>28 706,4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ind/>
              <w:jc w:val="center"/>
            </w:pPr>
            <w:r>
              <w:t>29 783,0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ind/>
              <w:jc w:val="center"/>
            </w:pPr>
            <w:r>
              <w:t>31 199,2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widowControl w:val="0"/>
              <w:ind/>
            </w:pPr>
            <w:r>
              <w:t>Дефицит (-) /профицит (+)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widowControl w:val="0"/>
              <w:ind/>
              <w:jc w:val="center"/>
            </w:pPr>
            <w:r>
              <w:t>-3</w:t>
            </w:r>
            <w:r>
              <w:t> 526,7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ind/>
              <w:jc w:val="center"/>
            </w:pPr>
            <w:r>
              <w:t>821,5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ind/>
              <w:jc w:val="center"/>
            </w:pPr>
            <w:r>
              <w:t>-1 235,3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widowControl w:val="0"/>
              <w:ind/>
            </w:pPr>
            <w:r>
              <w:t>Источники финансирования дефицита бюджета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widowControl w:val="0"/>
              <w:ind/>
              <w:jc w:val="center"/>
            </w:pPr>
            <w:r>
              <w:t>3 526,7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widowControl w:val="0"/>
              <w:ind/>
              <w:jc w:val="center"/>
            </w:pPr>
            <w:r>
              <w:t>-821,5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widowControl w:val="0"/>
              <w:ind/>
              <w:jc w:val="center"/>
            </w:pPr>
            <w:r>
              <w:t>1 235,3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widowControl w:val="0"/>
              <w:ind/>
            </w:pPr>
            <w:r>
              <w:t>Муниципальный долг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widowControl w:val="0"/>
              <w:ind/>
              <w:jc w:val="center"/>
            </w:pPr>
            <w:r>
              <w:t>0,0</w:t>
            </w:r>
          </w:p>
        </w:tc>
      </w:tr>
    </w:tbl>
    <w:p w14:paraId="C3000000">
      <w:pPr>
        <w:widowControl w:val="0"/>
        <w:ind/>
        <w:jc w:val="center"/>
        <w:outlineLvl w:val="3"/>
      </w:pPr>
    </w:p>
    <w:p w14:paraId="C4000000">
      <w:pPr>
        <w:widowControl w:val="0"/>
        <w:ind/>
        <w:jc w:val="center"/>
        <w:outlineLvl w:val="3"/>
        <w:rPr>
          <w:b w:val="1"/>
        </w:rPr>
      </w:pPr>
    </w:p>
    <w:p w14:paraId="C5000000">
      <w:pPr>
        <w:pageBreakBefore w:val="1"/>
        <w:widowControl w:val="0"/>
        <w:ind/>
        <w:jc w:val="center"/>
        <w:outlineLvl w:val="3"/>
      </w:pPr>
      <w:r>
        <w:rPr>
          <w:b w:val="1"/>
        </w:rPr>
        <w:t>2.1. Показатели финансового</w:t>
      </w:r>
      <w:r>
        <w:rPr>
          <w:b w:val="1"/>
        </w:rPr>
        <w:t xml:space="preserve"> обеспечения муниципальных программ Кагальницкого сельского поселения </w:t>
      </w:r>
      <w:r>
        <w:t>*</w:t>
      </w:r>
    </w:p>
    <w:p w14:paraId="C6000000">
      <w:pPr>
        <w:widowControl w:val="0"/>
        <w:ind/>
        <w:outlineLvl w:val="3"/>
      </w:pPr>
    </w:p>
    <w:p w14:paraId="C7000000">
      <w:pPr>
        <w:widowControl w:val="0"/>
        <w:tabs>
          <w:tab w:leader="none" w:pos="14601" w:val="left"/>
        </w:tabs>
        <w:ind/>
        <w:jc w:val="center"/>
      </w:pPr>
      <w:r>
        <w:t xml:space="preserve">                            </w:t>
      </w:r>
      <w:r>
        <w:t xml:space="preserve">                              </w:t>
      </w:r>
      <w:r>
        <w:t xml:space="preserve">                                                    </w:t>
      </w:r>
      <w:r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(тыс. рублей)</w:t>
      </w:r>
    </w:p>
    <w:tbl>
      <w:tblPr>
        <w:tblStyle w:val="Style_4"/>
        <w:tblInd w:type="dxa" w:w="927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387"/>
        <w:gridCol w:w="1418"/>
        <w:gridCol w:w="1417"/>
        <w:gridCol w:w="1418"/>
        <w:gridCol w:w="1417"/>
        <w:gridCol w:w="1276"/>
        <w:gridCol w:w="1276"/>
      </w:tblGrid>
      <w:tr>
        <w:trPr>
          <w:tblHeader/>
        </w:trPr>
        <w:tc>
          <w:tcPr>
            <w:tcW w:type="dxa" w:w="1360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на финансовое обеспечение реализации муниципальных программ Кагальницкого сельского поселения</w:t>
            </w:r>
          </w:p>
        </w:tc>
      </w:tr>
      <w:tr>
        <w:trPr>
          <w:tblHeader/>
        </w:trPr>
        <w:tc>
          <w:tcPr>
            <w:tcW w:type="dxa" w:w="5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 программы Кагальницкого сельского поселения</w:t>
            </w:r>
          </w:p>
        </w:tc>
        <w:tc>
          <w:tcPr>
            <w:tcW w:type="dxa" w:w="822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>
        <w:trPr>
          <w:trHeight w:hRule="atLeast" w:val="62"/>
          <w:tblHeader/>
        </w:trPr>
        <w:tc>
          <w:tcPr>
            <w:tcW w:type="dxa" w:w="5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>
        <w:trPr>
          <w:trHeight w:hRule="atLeast" w:val="140"/>
          <w:tblHeader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widowControl w:val="0"/>
              <w:ind/>
              <w:jc w:val="both"/>
            </w:pPr>
            <w:r>
              <w:t>Муниципальная программа "Развитие муниципальной службы "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widowControl w:val="0"/>
              <w:ind/>
              <w:jc w:val="center"/>
            </w:pPr>
            <w:r>
              <w:t>15,0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widowControl w:val="0"/>
              <w:ind/>
              <w:jc w:val="center"/>
            </w:pPr>
            <w:r>
              <w:t>15,0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ind/>
              <w:jc w:val="center"/>
            </w:pPr>
            <w:r>
              <w:t>15,0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1739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r>
              <w:t>Муниципальная программа 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widowControl w:val="0"/>
              <w:ind/>
              <w:jc w:val="center"/>
            </w:pPr>
            <w:r>
              <w:t>50,0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widowControl w:val="0"/>
              <w:ind/>
              <w:jc w:val="center"/>
            </w:pPr>
            <w:r>
              <w:t>1</w:t>
            </w:r>
            <w:r>
              <w:t>64</w:t>
            </w:r>
            <w:r>
              <w:t>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widowControl w:val="0"/>
              <w:ind/>
              <w:jc w:val="center"/>
            </w:pPr>
            <w:r>
              <w:t>14,7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ind/>
              <w:jc w:val="center"/>
            </w:pPr>
            <w:r>
              <w:t>200</w:t>
            </w:r>
            <w: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ind/>
              <w:jc w:val="center"/>
            </w:pPr>
            <w:r>
              <w:t>200,0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widowControl w:val="0"/>
              <w:ind/>
              <w:jc w:val="center"/>
            </w:pPr>
            <w:r>
              <w:t>100,0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widowControl w:val="0"/>
              <w:ind/>
              <w:jc w:val="center"/>
            </w:pPr>
            <w:r>
              <w:t>1</w:t>
            </w:r>
            <w:r>
              <w:t>6</w:t>
            </w: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widowControl w:val="0"/>
              <w:ind/>
              <w:jc w:val="center"/>
            </w:pPr>
            <w:r>
              <w:t>2 323,8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widowControl w:val="0"/>
              <w:ind/>
              <w:jc w:val="center"/>
            </w:pPr>
            <w:r>
              <w:t>3 417,0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widowControl w:val="0"/>
              <w:ind/>
              <w:jc w:val="center"/>
            </w:pPr>
            <w:r>
              <w:t>3 946,0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widowControl w:val="0"/>
              <w:ind/>
              <w:jc w:val="center"/>
            </w:pPr>
            <w:r>
              <w:t>3 417,0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r>
              <w:t>Муниципальная программа «Обеспечение качественными жилищно-коммунальными услугами»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widowControl w:val="0"/>
              <w:ind/>
              <w:jc w:val="center"/>
            </w:pPr>
            <w:r>
              <w:t>96,0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widowControl w:val="0"/>
              <w:ind/>
              <w:jc w:val="center"/>
            </w:pPr>
            <w:r>
              <w:t>200,0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widowControl w:val="0"/>
              <w:ind/>
              <w:jc w:val="center"/>
            </w:pPr>
            <w:r>
              <w:t>127,8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widowControl w:val="0"/>
              <w:ind/>
              <w:jc w:val="center"/>
            </w:pPr>
            <w:r>
              <w:t>250,0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widowControl w:val="0"/>
              <w:ind/>
              <w:jc w:val="center"/>
            </w:pPr>
            <w:r>
              <w:t>250,0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widowControl w:val="0"/>
              <w:ind/>
              <w:jc w:val="center"/>
            </w:pPr>
            <w:r>
              <w:t>250,0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2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  <w:r>
              <w:rPr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 xml:space="preserve">Энергоэффективность и развитие энергетики </w:t>
            </w:r>
            <w:r>
              <w:rPr>
                <w:sz w:val="28"/>
              </w:rPr>
              <w:t>"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widowControl w:val="0"/>
              <w:ind/>
              <w:jc w:val="center"/>
            </w:pPr>
            <w:r>
              <w:t>14,5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widowControl w:val="0"/>
              <w:ind/>
              <w:jc w:val="center"/>
            </w:pPr>
            <w:r>
              <w:t>20</w:t>
            </w:r>
            <w:r>
              <w:t>,</w:t>
            </w:r>
            <w:r>
              <w:t>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widowControl w:val="0"/>
              <w:ind/>
              <w:jc w:val="center"/>
            </w:pPr>
            <w:r>
              <w:t>30,0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widowControl w:val="0"/>
              <w:ind/>
              <w:jc w:val="center"/>
            </w:pPr>
            <w:r>
              <w:t>30,0</w:t>
            </w:r>
          </w:p>
        </w:tc>
      </w:tr>
      <w:tr>
        <w:trPr>
          <w:trHeight w:hRule="atLeast" w:val="918"/>
        </w:trP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r>
              <w:t>Муниципальная программа «Раз</w:t>
            </w:r>
            <w:r>
              <w:t>витие сетей наружного освещения</w:t>
            </w:r>
            <w: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ind/>
              <w:jc w:val="center"/>
            </w:pPr>
            <w:r>
              <w:t>2</w:t>
            </w:r>
            <w:r>
              <w:t> 912,3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widowControl w:val="0"/>
              <w:ind/>
              <w:jc w:val="center"/>
            </w:pPr>
            <w:r>
              <w:t>2 920,3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widowControl w:val="0"/>
              <w:ind/>
              <w:jc w:val="center"/>
            </w:pPr>
            <w:r>
              <w:t>3 321,2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ind/>
              <w:jc w:val="center"/>
            </w:pPr>
            <w:r>
              <w:t>3 787,8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ind/>
              <w:jc w:val="center"/>
            </w:pPr>
            <w:r>
              <w:t>4 107,2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widowControl w:val="0"/>
              <w:ind/>
              <w:jc w:val="center"/>
            </w:pPr>
            <w:r>
              <w:t>3 732,5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r>
              <w:t>Муниципальная п</w:t>
            </w:r>
            <w:r>
              <w:t>рограмма «Озеленение территории</w:t>
            </w:r>
            <w: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widowControl w:val="0"/>
              <w:ind/>
              <w:jc w:val="center"/>
            </w:pPr>
            <w:r>
              <w:t>1 204,4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widowControl w:val="0"/>
              <w:ind/>
              <w:jc w:val="center"/>
            </w:pPr>
            <w:r>
              <w:t>603,5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widowControl w:val="0"/>
              <w:ind/>
              <w:jc w:val="center"/>
            </w:pPr>
            <w:r>
              <w:t>1 568,3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widowControl w:val="0"/>
              <w:ind/>
              <w:jc w:val="center"/>
            </w:pPr>
            <w:r>
              <w:t>1 900,0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widowControl w:val="0"/>
              <w:ind/>
              <w:jc w:val="center"/>
            </w:pPr>
            <w:r>
              <w:t>1 900,0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r>
              <w:t>Муниципальная программа «Благоустройство территории»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widowControl w:val="0"/>
              <w:ind/>
              <w:jc w:val="center"/>
            </w:pPr>
            <w:r>
              <w:t>31 181,0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widowControl w:val="0"/>
              <w:ind/>
              <w:jc w:val="center"/>
            </w:pPr>
            <w:r>
              <w:t>13 456,2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widowControl w:val="0"/>
              <w:ind/>
              <w:jc w:val="center"/>
            </w:pPr>
            <w:r>
              <w:t>3 065,6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widowControl w:val="0"/>
              <w:ind/>
              <w:jc w:val="center"/>
            </w:pPr>
            <w:r>
              <w:t>2 467,3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widowControl w:val="0"/>
              <w:ind/>
              <w:jc w:val="center"/>
            </w:pPr>
            <w:r>
              <w:t>3 367,3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widowControl w:val="0"/>
              <w:ind/>
              <w:jc w:val="center"/>
            </w:pPr>
            <w:r>
              <w:t>3 367,3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r>
              <w:t>Муниципальная программа</w:t>
            </w:r>
            <w:r>
              <w:t xml:space="preserve"> «Развитие транспортной системы</w:t>
            </w:r>
            <w: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widowControl w:val="0"/>
              <w:ind/>
              <w:jc w:val="center"/>
            </w:pPr>
            <w:r>
              <w:t>3 010,4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widowControl w:val="0"/>
              <w:ind/>
              <w:jc w:val="center"/>
            </w:pPr>
            <w:r>
              <w:t>45</w:t>
            </w: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r>
              <w:t>Муниципальная программа «Развитие физической культуры и спорта»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widowControl w:val="0"/>
              <w:ind/>
              <w:jc w:val="center"/>
            </w:pPr>
            <w:r>
              <w:t>18,2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widowControl w:val="0"/>
              <w:ind/>
              <w:jc w:val="center"/>
            </w:pPr>
            <w:r>
              <w:t>120,0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widowControl w:val="0"/>
              <w:ind/>
              <w:jc w:val="center"/>
            </w:pPr>
            <w:r>
              <w:t>10</w:t>
            </w:r>
            <w: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widowControl w:val="0"/>
              <w:ind/>
              <w:jc w:val="center"/>
            </w:pPr>
            <w:r>
              <w:t>100,0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widowControl w:val="0"/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widowControl w:val="0"/>
              <w:ind/>
              <w:jc w:val="center"/>
            </w:pPr>
            <w:r>
              <w:t>35,6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widowControl w:val="0"/>
              <w:ind/>
              <w:jc w:val="center"/>
            </w:pPr>
            <w:r>
              <w:t>38,1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widowControl w:val="0"/>
              <w:ind/>
              <w:jc w:val="center"/>
            </w:pPr>
            <w:r>
              <w:t>45,7</w:t>
            </w:r>
          </w:p>
          <w:p w14:paraId="22010000">
            <w:pPr>
              <w:widowControl w:val="0"/>
              <w:ind/>
              <w:jc w:val="center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widowControl w:val="0"/>
              <w:ind/>
              <w:jc w:val="center"/>
            </w:pPr>
            <w:r>
              <w:t>57,1</w:t>
            </w:r>
          </w:p>
          <w:p w14:paraId="24010000">
            <w:pPr>
              <w:widowControl w:val="0"/>
              <w:ind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widowControl w:val="0"/>
              <w:ind/>
              <w:jc w:val="center"/>
            </w:pPr>
            <w:r>
              <w:t>57,1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widowControl w:val="0"/>
              <w:ind/>
              <w:jc w:val="center"/>
            </w:pPr>
            <w:r>
              <w:t>57,1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widowControl w:val="0"/>
              <w:ind/>
              <w:jc w:val="center"/>
            </w:pPr>
            <w:r>
              <w:t>9</w:t>
            </w:r>
            <w:r>
              <w:t> 950,2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widowControl w:val="0"/>
              <w:ind/>
              <w:jc w:val="center"/>
            </w:pPr>
            <w:r>
              <w:t>12 392,7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widowControl w:val="0"/>
              <w:ind/>
              <w:jc w:val="center"/>
            </w:pPr>
            <w:r>
              <w:t>10 700,8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widowControl w:val="0"/>
              <w:ind/>
              <w:jc w:val="center"/>
            </w:pPr>
            <w:r>
              <w:t>12 396,3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widowControl w:val="0"/>
              <w:ind/>
              <w:jc w:val="center"/>
            </w:pPr>
            <w:r>
              <w:t>12 694,0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widowControl w:val="0"/>
              <w:ind/>
              <w:jc w:val="center"/>
            </w:pPr>
            <w:r>
              <w:t>12 984,7</w:t>
            </w:r>
          </w:p>
          <w:p w14:paraId="2E01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pStyle w:val="Style_5"/>
              <w:spacing w:line="204" w:lineRule="auto"/>
              <w:ind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Муниципальная программа «Социальная поддержка граждан»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widowControl w:val="0"/>
              <w:ind/>
              <w:jc w:val="center"/>
            </w:pPr>
            <w:r>
              <w:t>313</w:t>
            </w:r>
            <w:r>
              <w:t>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widowControl w:val="0"/>
              <w:ind/>
              <w:jc w:val="center"/>
            </w:pPr>
            <w:r>
              <w:t>423,2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widowControl w:val="0"/>
              <w:ind/>
              <w:jc w:val="center"/>
            </w:pPr>
            <w:r>
              <w:t>443,3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widowControl w:val="0"/>
              <w:ind/>
              <w:jc w:val="center"/>
            </w:pPr>
            <w:r>
              <w:t>462,0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widowControl w:val="0"/>
              <w:ind/>
              <w:jc w:val="center"/>
            </w:pPr>
            <w:r>
              <w:t>481,0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widowControl w:val="0"/>
              <w:ind/>
              <w:jc w:val="center"/>
            </w:pPr>
            <w:r>
              <w:t>500,3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widowControl w:val="0"/>
              <w:ind/>
              <w:jc w:val="both"/>
            </w:pPr>
            <w:r>
              <w:t>ИТОГО: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widowControl w:val="0"/>
              <w:ind/>
              <w:jc w:val="center"/>
            </w:pPr>
            <w:r>
              <w:t>47</w:t>
            </w:r>
            <w:r>
              <w:t> 671,7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widowControl w:val="0"/>
              <w:ind/>
              <w:jc w:val="center"/>
            </w:pPr>
            <w:r>
              <w:t>33 653,1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10000">
            <w:pPr>
              <w:widowControl w:val="0"/>
              <w:ind/>
              <w:jc w:val="center"/>
            </w:pPr>
            <w:r>
              <w:t>20 701,4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widowControl w:val="0"/>
              <w:ind/>
              <w:jc w:val="center"/>
            </w:pPr>
            <w:r>
              <w:t>24 750,8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widowControl w:val="0"/>
              <w:ind/>
              <w:jc w:val="center"/>
            </w:pPr>
            <w:r>
              <w:t>27 232,6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widowControl w:val="0"/>
              <w:ind/>
              <w:jc w:val="center"/>
            </w:pPr>
            <w:r>
              <w:t>26 638,9</w:t>
            </w:r>
          </w:p>
        </w:tc>
      </w:tr>
    </w:tbl>
    <w:p w14:paraId="3D010000">
      <w:pPr>
        <w:widowControl w:val="0"/>
        <w:ind/>
        <w:rPr>
          <w:sz w:val="20"/>
        </w:rPr>
      </w:pPr>
    </w:p>
    <w:p w14:paraId="3E010000">
      <w:pPr>
        <w:pStyle w:val="Style_6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 Показатели финансового обеспечения муниципальных программ Кагальницкого сельского поселения заполняются на период их действия.</w:t>
      </w:r>
    </w:p>
    <w:p w14:paraId="3F010000">
      <w:pPr>
        <w:sectPr>
          <w:pgSz w:h="11907" w:orient="landscape" w:w="16840"/>
          <w:pgMar w:bottom="851" w:footer="720" w:gutter="0" w:header="720" w:left="1134" w:right="680" w:top="709"/>
        </w:sectPr>
      </w:pPr>
    </w:p>
    <w:p w14:paraId="40010000">
      <w:pPr>
        <w:widowControl w:val="0"/>
        <w:ind/>
        <w:jc w:val="center"/>
        <w:outlineLvl w:val="3"/>
        <w:rPr>
          <w:b w:val="1"/>
        </w:rPr>
      </w:pPr>
      <w:r>
        <w:rPr>
          <w:b w:val="1"/>
        </w:rPr>
        <w:t>2.2. Основные подходы к формированию бюджетной политики</w:t>
      </w:r>
    </w:p>
    <w:p w14:paraId="41010000">
      <w:pPr>
        <w:widowControl w:val="0"/>
        <w:ind/>
        <w:jc w:val="center"/>
        <w:rPr>
          <w:b w:val="1"/>
        </w:rPr>
      </w:pPr>
      <w:r>
        <w:rPr>
          <w:b w:val="1"/>
        </w:rPr>
        <w:t>Кагальницкого сельского поселения на период 202</w:t>
      </w:r>
      <w:r>
        <w:rPr>
          <w:b w:val="1"/>
        </w:rPr>
        <w:t>1</w:t>
      </w:r>
      <w:r>
        <w:rPr>
          <w:b w:val="1"/>
        </w:rPr>
        <w:t xml:space="preserve"> – 202</w:t>
      </w:r>
      <w:r>
        <w:rPr>
          <w:b w:val="1"/>
        </w:rPr>
        <w:t>6</w:t>
      </w:r>
      <w:r>
        <w:rPr>
          <w:b w:val="1"/>
        </w:rPr>
        <w:t xml:space="preserve"> год</w:t>
      </w:r>
      <w:r>
        <w:rPr>
          <w:b w:val="1"/>
        </w:rPr>
        <w:t>ов</w:t>
      </w:r>
    </w:p>
    <w:p w14:paraId="42010000"/>
    <w:p w14:paraId="43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Бюджетный прогноз Кагальницкого сельского поселения на период 202</w:t>
      </w:r>
      <w:r>
        <w:rPr>
          <w:b w:val="0"/>
          <w:sz w:val="28"/>
        </w:rPr>
        <w:t>1</w:t>
      </w:r>
      <w:r>
        <w:rPr>
          <w:b w:val="0"/>
          <w:sz w:val="28"/>
        </w:rPr>
        <w:t>-202</w:t>
      </w:r>
      <w:r>
        <w:rPr>
          <w:b w:val="0"/>
          <w:sz w:val="28"/>
        </w:rPr>
        <w:t>6</w:t>
      </w:r>
      <w:r>
        <w:rPr>
          <w:b w:val="0"/>
          <w:sz w:val="28"/>
        </w:rPr>
        <w:t xml:space="preserve"> годов разработан на основе прогноза социально-экономического развития Кагальницкого сельского поселения на 2024</w:t>
      </w:r>
      <w:r>
        <w:rPr>
          <w:b w:val="0"/>
          <w:sz w:val="28"/>
        </w:rPr>
        <w:t>-2026</w:t>
      </w:r>
      <w:r>
        <w:rPr>
          <w:b w:val="0"/>
          <w:sz w:val="28"/>
        </w:rPr>
        <w:t xml:space="preserve"> год</w:t>
      </w:r>
      <w:r>
        <w:rPr>
          <w:b w:val="0"/>
          <w:sz w:val="28"/>
        </w:rPr>
        <w:t>ов</w:t>
      </w:r>
      <w:r>
        <w:rPr>
          <w:b w:val="0"/>
          <w:sz w:val="28"/>
        </w:rPr>
        <w:t>.</w:t>
      </w:r>
    </w:p>
    <w:p w14:paraId="44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45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Расчет прогнозных показателей дефицита (профицита), источников его финансирования и государственного долга Ростовской области 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46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Бюджетная политика Ростовской области на долгосрочный период будет направлена на обеспечение решения приоритетных задач социально-экономического развития Ростовской области при одновременном обеспечении устойчивости и сбалансированности бюджетной системы.</w:t>
      </w:r>
    </w:p>
    <w:p w14:paraId="47010000">
      <w:pPr>
        <w:pStyle w:val="Style_5"/>
        <w:spacing w:line="360" w:lineRule="auto"/>
        <w:ind w:firstLine="567" w:left="0" w:right="-108"/>
        <w:rPr>
          <w:b w:val="0"/>
          <w:i w:val="1"/>
          <w:sz w:val="28"/>
        </w:rPr>
      </w:pPr>
    </w:p>
    <w:p w14:paraId="48010000">
      <w:pPr>
        <w:pStyle w:val="Style_5"/>
        <w:spacing w:line="360" w:lineRule="auto"/>
        <w:ind w:firstLine="567" w:left="0" w:right="-108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 xml:space="preserve">Основные подходы в части собственных (налоговых и неналоговых) </w:t>
      </w:r>
      <w:r>
        <w:rPr>
          <w:sz w:val="28"/>
        </w:rPr>
        <w:t>доходов</w:t>
      </w:r>
    </w:p>
    <w:p w14:paraId="49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За период 2017</w:t>
      </w:r>
      <w:r>
        <w:rPr>
          <w:b w:val="0"/>
          <w:sz w:val="28"/>
        </w:rPr>
        <w:t>-20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годов динамика налоговых и неналоговых доходов наглядно демонстрирует </w:t>
      </w:r>
      <w:r>
        <w:rPr>
          <w:b w:val="0"/>
          <w:sz w:val="28"/>
        </w:rPr>
        <w:t>увеличение</w:t>
      </w:r>
      <w:r>
        <w:rPr>
          <w:b w:val="0"/>
          <w:sz w:val="28"/>
        </w:rPr>
        <w:t xml:space="preserve"> доходной части бюджета Кагальницкого сельского поселения с 2017</w:t>
      </w:r>
      <w:r>
        <w:rPr>
          <w:b w:val="0"/>
          <w:sz w:val="28"/>
        </w:rPr>
        <w:t xml:space="preserve"> года на 50,9</w:t>
      </w:r>
      <w:r>
        <w:rPr>
          <w:b w:val="0"/>
          <w:sz w:val="28"/>
        </w:rPr>
        <w:t xml:space="preserve"> процентов к фактическим поступлениям 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года.</w:t>
      </w:r>
    </w:p>
    <w:p w14:paraId="4A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>При формировании бюджетного прогноза налоговые и неналоговые доходы спрогнозированы в соответствии с положениями Бюджетного кодекса Российской Федерации, с применением показателей первого варианта долгосрочного прогноза социально-экономического развития Ростовской области на период до 2030 года и на основе прогноза социально-экономического развития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Кагальницкого сельского</w:t>
      </w:r>
      <w:r>
        <w:rPr>
          <w:b w:val="0"/>
          <w:i w:val="1"/>
          <w:sz w:val="28"/>
        </w:rPr>
        <w:t xml:space="preserve"> </w:t>
      </w:r>
      <w:r>
        <w:rPr>
          <w:b w:val="0"/>
          <w:sz w:val="28"/>
        </w:rPr>
        <w:t>поселения на 2024</w:t>
      </w:r>
      <w:r>
        <w:rPr>
          <w:b w:val="0"/>
          <w:sz w:val="28"/>
        </w:rPr>
        <w:t xml:space="preserve"> год и плановый период 2025-</w:t>
      </w:r>
      <w:r>
        <w:rPr>
          <w:b w:val="0"/>
          <w:sz w:val="28"/>
        </w:rPr>
        <w:t>2026</w:t>
      </w:r>
      <w:r>
        <w:rPr>
          <w:b w:val="0"/>
          <w:sz w:val="28"/>
        </w:rPr>
        <w:t xml:space="preserve"> год</w:t>
      </w:r>
      <w:r>
        <w:rPr>
          <w:b w:val="0"/>
          <w:sz w:val="28"/>
        </w:rPr>
        <w:t>ов</w:t>
      </w:r>
      <w:r>
        <w:rPr>
          <w:b w:val="0"/>
          <w:sz w:val="28"/>
        </w:rPr>
        <w:t>. Прогнозирование на долгосрочную перспективу осуществлялось в условиях позитивных тенденций, сложившихся в предыдущие годы с учетом роста прибыли прибыльных предприятий, фонда заработной платы и т.д. В 202</w:t>
      </w:r>
      <w:r>
        <w:rPr>
          <w:b w:val="0"/>
          <w:sz w:val="28"/>
        </w:rPr>
        <w:t>1</w:t>
      </w:r>
      <w:r>
        <w:rPr>
          <w:b w:val="0"/>
          <w:sz w:val="28"/>
        </w:rPr>
        <w:t>-202</w:t>
      </w:r>
      <w:r>
        <w:rPr>
          <w:b w:val="0"/>
          <w:sz w:val="28"/>
        </w:rPr>
        <w:t>6</w:t>
      </w:r>
      <w:r>
        <w:rPr>
          <w:b w:val="0"/>
          <w:sz w:val="28"/>
        </w:rPr>
        <w:t xml:space="preserve"> годах будут </w:t>
      </w:r>
      <w:r>
        <w:rPr>
          <w:b w:val="0"/>
          <w:sz w:val="28"/>
        </w:rPr>
        <w:t>приняты меры создани</w:t>
      </w:r>
      <w:r>
        <w:rPr>
          <w:b w:val="0"/>
          <w:sz w:val="28"/>
        </w:rPr>
        <w:t>я</w:t>
      </w:r>
      <w:r>
        <w:rPr>
          <w:b w:val="0"/>
          <w:sz w:val="28"/>
        </w:rPr>
        <w:t xml:space="preserve"> условий по обеспечению устойчивых темпов роста в реальном секторе экономики и повышение жизненного уровня населения. В прогнозируемом периоде </w:t>
      </w:r>
      <w:r>
        <w:rPr>
          <w:b w:val="0"/>
          <w:sz w:val="28"/>
        </w:rPr>
        <w:t xml:space="preserve">согласно </w:t>
      </w:r>
      <w:r>
        <w:rPr>
          <w:b w:val="0"/>
          <w:sz w:val="28"/>
        </w:rPr>
        <w:t>прогнозу социально-экономического развития Кагальницкого сельского поселения на 202</w:t>
      </w:r>
      <w:r>
        <w:rPr>
          <w:b w:val="0"/>
          <w:sz w:val="28"/>
        </w:rPr>
        <w:t>1</w:t>
      </w:r>
      <w:r>
        <w:rPr>
          <w:b w:val="0"/>
          <w:sz w:val="28"/>
        </w:rPr>
        <w:t>-202</w:t>
      </w:r>
      <w:r>
        <w:rPr>
          <w:b w:val="0"/>
          <w:sz w:val="28"/>
        </w:rPr>
        <w:t>6</w:t>
      </w:r>
      <w:r>
        <w:rPr>
          <w:b w:val="0"/>
          <w:sz w:val="28"/>
        </w:rPr>
        <w:t xml:space="preserve"> годы с учетом перспектив развития ожидается </w:t>
      </w:r>
      <w:r>
        <w:rPr>
          <w:b w:val="0"/>
          <w:sz w:val="28"/>
        </w:rPr>
        <w:t xml:space="preserve">рост </w:t>
      </w:r>
      <w:r>
        <w:rPr>
          <w:b w:val="0"/>
          <w:sz w:val="28"/>
        </w:rPr>
        <w:t>прибыл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малых и средних предприятий на территории поселения</w:t>
      </w:r>
      <w:r>
        <w:rPr>
          <w:b w:val="0"/>
          <w:sz w:val="28"/>
        </w:rPr>
        <w:t>. Это связано с реконструкцией, модернизацией, имеющегося оборудования, реализацией инвестиционного проекта. Продолжится увеличение реальной заработной платы и денежных доходов населения.</w:t>
      </w:r>
    </w:p>
    <w:p w14:paraId="4B010000">
      <w:pPr>
        <w:pStyle w:val="Style_5"/>
        <w:spacing w:line="204" w:lineRule="auto"/>
        <w:ind w:firstLine="567" w:left="0" w:right="-108"/>
        <w:jc w:val="both"/>
        <w:rPr>
          <w:b w:val="0"/>
          <w:sz w:val="28"/>
        </w:rPr>
      </w:pPr>
    </w:p>
    <w:p w14:paraId="4C010000">
      <w:pPr>
        <w:pStyle w:val="Style_5"/>
        <w:spacing w:line="204" w:lineRule="auto"/>
        <w:ind w:firstLine="567" w:left="0" w:right="-108"/>
        <w:rPr>
          <w:sz w:val="28"/>
        </w:rPr>
      </w:pPr>
      <w:r>
        <w:rPr>
          <w:sz w:val="28"/>
        </w:rPr>
        <w:t xml:space="preserve">2.4. </w:t>
      </w:r>
      <w:r>
        <w:rPr>
          <w:sz w:val="28"/>
        </w:rPr>
        <w:t>Основные подходы в части областной финансовой помощи</w:t>
      </w:r>
    </w:p>
    <w:p w14:paraId="4D010000">
      <w:pPr>
        <w:pStyle w:val="Style_5"/>
        <w:spacing w:line="204" w:lineRule="auto"/>
        <w:ind w:firstLine="567" w:left="0" w:right="-108"/>
        <w:jc w:val="both"/>
        <w:rPr>
          <w:b w:val="0"/>
          <w:sz w:val="28"/>
        </w:rPr>
      </w:pPr>
    </w:p>
    <w:p w14:paraId="4E010000">
      <w:pPr>
        <w:pStyle w:val="Style_5"/>
        <w:spacing w:line="360" w:lineRule="auto"/>
        <w:ind w:firstLine="567" w:left="0" w:right="-108"/>
        <w:jc w:val="both"/>
        <w:rPr>
          <w:b w:val="0"/>
          <w:sz w:val="28"/>
        </w:rPr>
      </w:pPr>
      <w:r>
        <w:rPr>
          <w:b w:val="0"/>
          <w:sz w:val="28"/>
        </w:rPr>
        <w:t xml:space="preserve">Целевые средства на 2023 </w:t>
      </w:r>
      <w:r>
        <w:rPr>
          <w:b w:val="0"/>
          <w:sz w:val="28"/>
        </w:rPr>
        <w:t>год</w:t>
      </w:r>
      <w:r>
        <w:rPr>
          <w:b w:val="0"/>
          <w:sz w:val="28"/>
        </w:rPr>
        <w:t xml:space="preserve"> предусмотрены в соответствии с Областным законом </w:t>
      </w:r>
      <w:r>
        <w:rPr>
          <w:rStyle w:val="Style_5_ch"/>
          <w:b w:val="0"/>
          <w:sz w:val="28"/>
        </w:rPr>
        <w:t>от 16 дек. 2022 № 795-ЗС</w:t>
      </w:r>
      <w:r>
        <w:rPr>
          <w:b w:val="0"/>
          <w:sz w:val="28"/>
        </w:rPr>
        <w:t xml:space="preserve"> «Об областном бюджете на 2023 год и на плановый период 2024 </w:t>
      </w:r>
      <w:r>
        <w:rPr>
          <w:b w:val="0"/>
          <w:sz w:val="28"/>
        </w:rPr>
        <w:t>и 2025 годов», на 2024 год и плановый период 2025-2026 годов в соответствии с проектом Областного закона «Об областном бюджете на 2024 год и на плановый период 2025 и 2026 годов».</w:t>
      </w:r>
    </w:p>
    <w:p w14:paraId="4F010000">
      <w:pPr>
        <w:pStyle w:val="Style_5"/>
        <w:spacing w:line="204" w:lineRule="auto"/>
        <w:ind w:right="-108"/>
        <w:jc w:val="left"/>
        <w:rPr>
          <w:b w:val="0"/>
          <w:sz w:val="20"/>
        </w:rPr>
      </w:pPr>
    </w:p>
    <w:p w14:paraId="50010000">
      <w:pPr>
        <w:pStyle w:val="Style_5"/>
        <w:spacing w:line="204" w:lineRule="auto"/>
        <w:ind w:right="-108"/>
        <w:rPr>
          <w:color w:val="000000"/>
          <w:sz w:val="28"/>
        </w:rPr>
      </w:pPr>
      <w:r>
        <w:rPr>
          <w:color w:val="000000"/>
          <w:sz w:val="28"/>
        </w:rPr>
        <w:t xml:space="preserve">2.5. </w:t>
      </w:r>
      <w:r>
        <w:rPr>
          <w:color w:val="000000"/>
          <w:sz w:val="28"/>
        </w:rPr>
        <w:t>Основные подходы в части расходов</w:t>
      </w:r>
    </w:p>
    <w:p w14:paraId="51010000">
      <w:pPr>
        <w:pStyle w:val="Style_5"/>
        <w:spacing w:line="204" w:lineRule="auto"/>
        <w:ind w:firstLine="567" w:left="0" w:right="-108"/>
        <w:jc w:val="both"/>
        <w:rPr>
          <w:b w:val="0"/>
          <w:color w:val="000000"/>
          <w:sz w:val="28"/>
        </w:rPr>
      </w:pPr>
    </w:p>
    <w:p w14:paraId="52010000">
      <w:pPr>
        <w:pStyle w:val="Style_5"/>
        <w:spacing w:line="360" w:lineRule="auto"/>
        <w:ind w:firstLine="567" w:left="0" w:right="-108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>
        <w:rPr>
          <w:b w:val="0"/>
          <w:color w:val="000000"/>
          <w:sz w:val="28"/>
        </w:rPr>
        <w:t>Кагальницкого сельского поселения</w:t>
      </w:r>
      <w:r>
        <w:rPr>
          <w:b w:val="0"/>
          <w:color w:val="000000"/>
          <w:sz w:val="28"/>
        </w:rPr>
        <w:t xml:space="preserve">. </w:t>
      </w:r>
    </w:p>
    <w:p w14:paraId="53010000">
      <w:pPr>
        <w:spacing w:line="360" w:lineRule="auto"/>
        <w:ind w:firstLine="709" w:left="0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федеральными, </w:t>
      </w:r>
      <w:r>
        <w:rPr>
          <w:color w:val="000000"/>
        </w:rPr>
        <w:t xml:space="preserve">областными </w:t>
      </w:r>
      <w:r>
        <w:rPr>
          <w:color w:val="000000"/>
        </w:rPr>
        <w:t xml:space="preserve">и районными </w:t>
      </w:r>
      <w:r>
        <w:rPr>
          <w:color w:val="000000"/>
        </w:rPr>
        <w:t>подходами определены основные стратегические направления на долгосрочную перспективу.</w:t>
      </w:r>
      <w:r>
        <w:rPr>
          <w:color w:val="000000"/>
        </w:rPr>
        <w:t xml:space="preserve"> </w:t>
      </w:r>
      <w:r>
        <w:rPr>
          <w:color w:val="000000"/>
        </w:rPr>
        <w:t xml:space="preserve">Основным инструментом достижения национальных целей развития, установленных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а также от 21.07.2020 № 474 «О национальных целях развития Российской Федерации на период до 2030 года» являются </w:t>
      </w:r>
      <w:r>
        <w:rPr>
          <w:color w:val="000000"/>
        </w:rPr>
        <w:t>местные</w:t>
      </w:r>
      <w:r>
        <w:rPr>
          <w:color w:val="000000"/>
        </w:rPr>
        <w:t xml:space="preserve"> проекты, направленные на реализацию федеральных проектов, входящих в состав национальных проектов.</w:t>
      </w:r>
    </w:p>
    <w:p w14:paraId="54010000">
      <w:pPr>
        <w:pStyle w:val="Style_5"/>
        <w:spacing w:line="360" w:lineRule="auto"/>
        <w:ind w:firstLine="567" w:left="0" w:right="-108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 Достижения целей средствами проектного офиса требует особого подхода к бюджету – ассигнования планируются на приоритетные направления, остальные расходы тщательно анализируются и сокращаются.</w:t>
      </w:r>
    </w:p>
    <w:p w14:paraId="55010000"/>
    <w:p w14:paraId="56010000"/>
    <w:p w14:paraId="57010000"/>
    <w:p w14:paraId="58010000"/>
    <w:p w14:paraId="59010000"/>
    <w:p w14:paraId="5A010000"/>
    <w:p w14:paraId="5B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jc w:val="left"/>
        <w:rPr>
          <w:b w:val="0"/>
          <w:sz w:val="28"/>
        </w:rPr>
      </w:pPr>
      <w:r>
        <w:rPr>
          <w:b w:val="0"/>
          <w:sz w:val="28"/>
        </w:rPr>
        <w:t xml:space="preserve">Глава Администрации </w:t>
      </w:r>
    </w:p>
    <w:p w14:paraId="5C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jc w:val="left"/>
        <w:rPr>
          <w:b w:val="0"/>
          <w:sz w:val="28"/>
        </w:rPr>
      </w:pPr>
      <w:r>
        <w:rPr>
          <w:b w:val="0"/>
          <w:sz w:val="28"/>
        </w:rPr>
        <w:t xml:space="preserve">Кагальницкого сельского поселения              </w:t>
      </w:r>
      <w:r>
        <w:rPr>
          <w:b w:val="0"/>
          <w:sz w:val="28"/>
        </w:rPr>
        <w:t xml:space="preserve">         </w:t>
      </w:r>
      <w:r>
        <w:rPr>
          <w:b w:val="0"/>
          <w:sz w:val="28"/>
        </w:rPr>
        <w:t xml:space="preserve">          Малерян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К.А.</w:t>
      </w:r>
    </w:p>
    <w:p w14:paraId="5D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rPr>
          <w:b w:val="0"/>
          <w:sz w:val="28"/>
        </w:rPr>
      </w:pPr>
      <w:r>
        <w:rPr>
          <w:b w:val="0"/>
          <w:sz w:val="28"/>
        </w:rPr>
        <w:t xml:space="preserve">              </w:t>
      </w:r>
    </w:p>
    <w:p w14:paraId="5E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jc w:val="left"/>
        <w:rPr>
          <w:b w:val="0"/>
          <w:sz w:val="28"/>
        </w:rPr>
      </w:pPr>
    </w:p>
    <w:p w14:paraId="5F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jc w:val="left"/>
        <w:rPr>
          <w:b w:val="0"/>
          <w:sz w:val="28"/>
        </w:rPr>
      </w:pPr>
      <w:r>
        <w:rPr>
          <w:b w:val="0"/>
          <w:sz w:val="28"/>
        </w:rPr>
        <w:t>Зав. сектор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 экономики и финансов                 </w:t>
      </w:r>
      <w:r>
        <w:rPr>
          <w:b w:val="0"/>
          <w:sz w:val="28"/>
        </w:rPr>
        <w:t xml:space="preserve">           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>Куцкевич Е.И.</w:t>
      </w:r>
    </w:p>
    <w:p w14:paraId="60010000">
      <w:pPr>
        <w:pStyle w:val="Style_5"/>
        <w:tabs>
          <w:tab w:leader="none" w:pos="2040" w:val="clear"/>
        </w:tabs>
        <w:spacing w:line="204" w:lineRule="auto"/>
        <w:ind w:firstLine="567" w:left="0" w:right="-108"/>
        <w:rPr>
          <w:b w:val="0"/>
          <w:sz w:val="28"/>
        </w:rPr>
      </w:pPr>
    </w:p>
    <w:p w14:paraId="61010000">
      <w:pPr>
        <w:pStyle w:val="Style_5"/>
        <w:spacing w:line="204" w:lineRule="auto"/>
        <w:ind w:firstLine="567" w:left="0" w:right="-108"/>
        <w:rPr>
          <w:b w:val="0"/>
          <w:sz w:val="28"/>
        </w:rPr>
      </w:pPr>
    </w:p>
    <w:p w14:paraId="62010000">
      <w:pPr>
        <w:pStyle w:val="Style_3"/>
        <w:ind w:right="4506"/>
      </w:pPr>
    </w:p>
    <w:sectPr>
      <w:footerReference r:id="rId1" w:type="default"/>
      <w:pgSz w:h="16838" w:orient="portrait" w:w="11906"/>
      <w:pgMar w:bottom="1134" w:footer="709" w:gutter="0" w:header="709" w:left="1134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FollowedHyperlink"/>
    <w:link w:val="Style_9_ch"/>
    <w:rPr>
      <w:color w:val="800080"/>
      <w:u w:val="single"/>
    </w:rPr>
  </w:style>
  <w:style w:styleId="Style_9_ch" w:type="character">
    <w:name w:val="FollowedHyperlink"/>
    <w:link w:val="Style_9"/>
    <w:rPr>
      <w:color w:val="800080"/>
      <w:u w:val="single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Таблицы (моноширинный)"/>
    <w:basedOn w:val="Style_7"/>
    <w:next w:val="Style_7"/>
    <w:link w:val="Style_11_ch"/>
    <w:pPr>
      <w:widowControl w:val="0"/>
      <w:ind/>
      <w:jc w:val="both"/>
    </w:pPr>
    <w:rPr>
      <w:rFonts w:ascii="Courier New" w:hAnsi="Courier New"/>
      <w:sz w:val="20"/>
    </w:rPr>
  </w:style>
  <w:style w:styleId="Style_11_ch" w:type="character">
    <w:name w:val="Таблицы (моноширинный)"/>
    <w:basedOn w:val="Style_7_ch"/>
    <w:link w:val="Style_11"/>
    <w:rPr>
      <w:rFonts w:ascii="Courier New" w:hAnsi="Courier New"/>
      <w:sz w:val="20"/>
    </w:rPr>
  </w:style>
  <w:style w:styleId="Style_12" w:type="paragraph">
    <w:name w:val="Не вступил в силу"/>
    <w:link w:val="Style_12_ch"/>
    <w:rPr>
      <w:color w:val="000000"/>
      <w:shd w:fill="D8EDE8" w:val="clear"/>
    </w:rPr>
  </w:style>
  <w:style w:styleId="Style_12_ch" w:type="character">
    <w:name w:val="Не вступил в силу"/>
    <w:link w:val="Style_12"/>
    <w:rPr>
      <w:color w:val="000000"/>
      <w:shd w:fill="D8EDE8" w:val="clear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текст 21"/>
    <w:basedOn w:val="Style_7"/>
    <w:link w:val="Style_15_ch"/>
  </w:style>
  <w:style w:styleId="Style_15_ch" w:type="character">
    <w:name w:val="Основной текст 21"/>
    <w:basedOn w:val="Style_7_ch"/>
    <w:link w:val="Style_15"/>
  </w:style>
  <w:style w:styleId="Style_16" w:type="paragraph">
    <w:name w:val="Body Text"/>
    <w:basedOn w:val="Style_7"/>
    <w:link w:val="Style_16_ch"/>
  </w:style>
  <w:style w:styleId="Style_16_ch" w:type="character">
    <w:name w:val="Body Text"/>
    <w:basedOn w:val="Style_7_ch"/>
    <w:link w:val="Style_16"/>
  </w:style>
  <w:style w:styleId="Style_17" w:type="paragraph">
    <w:name w:val="Normal (Web)"/>
    <w:basedOn w:val="Style_7"/>
    <w:link w:val="Style_17_ch"/>
    <w:pPr>
      <w:spacing w:after="20" w:before="20"/>
      <w:ind/>
    </w:pPr>
    <w:rPr>
      <w:sz w:val="24"/>
    </w:rPr>
  </w:style>
  <w:style w:styleId="Style_17_ch" w:type="character">
    <w:name w:val="Normal (Web)"/>
    <w:basedOn w:val="Style_7_ch"/>
    <w:link w:val="Style_17"/>
    <w:rPr>
      <w:sz w:val="24"/>
    </w:rPr>
  </w:style>
  <w:style w:styleId="Style_18" w:type="paragraph">
    <w:name w:val="List Paragraph"/>
    <w:basedOn w:val="Style_7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7_ch"/>
    <w:link w:val="Style_18"/>
    <w:rPr>
      <w:rFonts w:ascii="Calibri" w:hAnsi="Calibri"/>
      <w:sz w:val="22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9" w:type="paragraph">
    <w:name w:val="ConsTitle"/>
    <w:link w:val="Style_19_ch"/>
    <w:pPr>
      <w:widowControl w:val="0"/>
      <w:ind w:right="19772"/>
    </w:pPr>
    <w:rPr>
      <w:rFonts w:ascii="Arial" w:hAnsi="Arial"/>
      <w:b w:val="1"/>
      <w:sz w:val="16"/>
    </w:rPr>
  </w:style>
  <w:style w:styleId="Style_19_ch" w:type="character">
    <w:name w:val="ConsTitle"/>
    <w:link w:val="Style_19"/>
    <w:rPr>
      <w:rFonts w:ascii="Arial" w:hAnsi="Arial"/>
      <w:b w:val="1"/>
      <w:sz w:val="16"/>
    </w:rPr>
  </w:style>
  <w:style w:styleId="Style_20" w:type="paragraph">
    <w:name w:val="heading 3"/>
    <w:basedOn w:val="Style_7"/>
    <w:next w:val="Style_7"/>
    <w:link w:val="Style_20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20_ch" w:type="character">
    <w:name w:val="heading 3"/>
    <w:basedOn w:val="Style_7_ch"/>
    <w:link w:val="Style_20"/>
    <w:rPr>
      <w:b w:val="1"/>
      <w:spacing w:val="30"/>
      <w:sz w:val="36"/>
    </w:rPr>
  </w:style>
  <w:style w:styleId="Style_21" w:type="paragraph">
    <w:name w:val="Body Text Indent"/>
    <w:basedOn w:val="Style_7"/>
    <w:link w:val="Style_21_ch"/>
    <w:pPr>
      <w:ind w:firstLine="709" w:left="0"/>
      <w:jc w:val="both"/>
    </w:pPr>
  </w:style>
  <w:style w:styleId="Style_21_ch" w:type="character">
    <w:name w:val="Body Text Indent"/>
    <w:basedOn w:val="Style_7_ch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ConsNonformat"/>
    <w:link w:val="Style_23_ch"/>
    <w:pPr>
      <w:widowControl w:val="0"/>
      <w:ind w:right="19772"/>
    </w:pPr>
    <w:rPr>
      <w:rFonts w:ascii="Courier New" w:hAnsi="Courier New"/>
      <w:sz w:val="28"/>
    </w:rPr>
  </w:style>
  <w:style w:styleId="Style_23_ch" w:type="character">
    <w:name w:val="ConsNonformat"/>
    <w:link w:val="Style_23"/>
    <w:rPr>
      <w:rFonts w:ascii="Courier New" w:hAnsi="Courier New"/>
      <w:sz w:val="28"/>
    </w:rPr>
  </w:style>
  <w:style w:styleId="Style_24" w:type="paragraph">
    <w:name w:val="footnote reference"/>
    <w:link w:val="Style_24_ch"/>
    <w:rPr>
      <w:vertAlign w:val="superscript"/>
    </w:rPr>
  </w:style>
  <w:style w:styleId="Style_24_ch" w:type="character">
    <w:name w:val="footnote reference"/>
    <w:link w:val="Style_24"/>
    <w:rPr>
      <w:vertAlign w:val="superscript"/>
    </w:rPr>
  </w:style>
  <w:style w:styleId="Style_25" w:type="paragraph">
    <w:name w:val="HTML Preformatted"/>
    <w:basedOn w:val="Style_7"/>
    <w:link w:val="Style_2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5_ch" w:type="character">
    <w:name w:val="HTML Preformatted"/>
    <w:basedOn w:val="Style_7_ch"/>
    <w:link w:val="Style_25"/>
    <w:rPr>
      <w:rFonts w:ascii="Courier New" w:hAnsi="Courier New"/>
      <w:sz w:val="20"/>
    </w:rPr>
  </w:style>
  <w:style w:styleId="Style_26" w:type="paragraph">
    <w:name w:val="header"/>
    <w:basedOn w:val="Style_7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7_ch"/>
    <w:link w:val="Style_26"/>
  </w:style>
  <w:style w:styleId="Style_27" w:type="paragraph">
    <w:name w:val="page number"/>
    <w:basedOn w:val="Style_22"/>
    <w:link w:val="Style_27_ch"/>
  </w:style>
  <w:style w:styleId="Style_27_ch" w:type="character">
    <w:name w:val="page number"/>
    <w:basedOn w:val="Style_22_ch"/>
    <w:link w:val="Style_27"/>
  </w:style>
  <w:style w:styleId="Style_28" w:type="paragraph">
    <w:name w:val="toc 3"/>
    <w:next w:val="Style_7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29" w:type="paragraph">
    <w:name w:val="Гипертекстовая ссылка"/>
    <w:link w:val="Style_29_ch"/>
    <w:rPr>
      <w:color w:val="106BBE"/>
    </w:rPr>
  </w:style>
  <w:style w:styleId="Style_29_ch" w:type="character">
    <w:name w:val="Гипертекстовая ссылка"/>
    <w:link w:val="Style_29"/>
    <w:rPr>
      <w:color w:val="106BBE"/>
    </w:rPr>
  </w:style>
  <w:style w:styleId="Style_30" w:type="paragraph">
    <w:name w:val="ConsPlusTitle"/>
    <w:link w:val="Style_30_ch"/>
    <w:pPr>
      <w:widowControl w:val="0"/>
      <w:ind/>
    </w:pPr>
    <w:rPr>
      <w:rFonts w:ascii="Calibri" w:hAnsi="Calibri"/>
      <w:b w:val="1"/>
      <w:sz w:val="22"/>
    </w:rPr>
  </w:style>
  <w:style w:styleId="Style_30_ch" w:type="character">
    <w:name w:val="ConsPlusTitle"/>
    <w:link w:val="Style_30"/>
    <w:rPr>
      <w:rFonts w:ascii="Calibri" w:hAnsi="Calibri"/>
      <w:b w:val="1"/>
      <w:sz w:val="22"/>
    </w:rPr>
  </w:style>
  <w:style w:styleId="Style_5" w:type="paragraph">
    <w:name w:val="heading 5"/>
    <w:basedOn w:val="Style_7"/>
    <w:next w:val="Style_7"/>
    <w:link w:val="Style_5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5_ch" w:type="character">
    <w:name w:val="heading 5"/>
    <w:basedOn w:val="Style_7_ch"/>
    <w:link w:val="Style_5"/>
    <w:rPr>
      <w:b w:val="1"/>
      <w:sz w:val="24"/>
    </w:rPr>
  </w:style>
  <w:style w:styleId="Style_31" w:type="paragraph">
    <w:name w:val="heading 1"/>
    <w:basedOn w:val="Style_7"/>
    <w:next w:val="Style_7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1_ch" w:type="character">
    <w:name w:val="heading 1"/>
    <w:basedOn w:val="Style_7_ch"/>
    <w:link w:val="Style_31"/>
    <w:rPr>
      <w:rFonts w:ascii="AG Souvenir" w:hAnsi="AG Souvenir"/>
      <w:b w:val="1"/>
      <w:spacing w:val="38"/>
    </w:rPr>
  </w:style>
  <w:style w:styleId="Style_32" w:type="paragraph">
    <w:name w:val="Body Text 2"/>
    <w:basedOn w:val="Style_7"/>
    <w:link w:val="Style_32_ch"/>
    <w:pPr>
      <w:ind w:right="6111"/>
    </w:pPr>
  </w:style>
  <w:style w:styleId="Style_32_ch" w:type="character">
    <w:name w:val="Body Text 2"/>
    <w:basedOn w:val="Style_7_ch"/>
    <w:link w:val="Style_32"/>
  </w:style>
  <w:style w:styleId="Style_33" w:type="paragraph">
    <w:name w:val="Основной текст 21"/>
    <w:basedOn w:val="Style_7"/>
    <w:link w:val="Style_33_ch"/>
  </w:style>
  <w:style w:styleId="Style_33_ch" w:type="character">
    <w:name w:val="Основной текст 21"/>
    <w:basedOn w:val="Style_7_ch"/>
    <w:link w:val="Style_33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7"/>
    <w:link w:val="Style_35_ch"/>
    <w:rPr>
      <w:sz w:val="20"/>
    </w:rPr>
  </w:style>
  <w:style w:styleId="Style_35_ch" w:type="character">
    <w:name w:val="Footnote"/>
    <w:basedOn w:val="Style_7_ch"/>
    <w:link w:val="Style_35"/>
    <w:rPr>
      <w:sz w:val="20"/>
    </w:rPr>
  </w:style>
  <w:style w:styleId="Style_3" w:type="paragraph">
    <w:name w:val="Без интервала2"/>
    <w:link w:val="Style_3_ch"/>
    <w:rPr>
      <w:rFonts w:ascii="Calibri" w:hAnsi="Calibri"/>
      <w:sz w:val="22"/>
    </w:rPr>
  </w:style>
  <w:style w:styleId="Style_3_ch" w:type="character">
    <w:name w:val="Без интервала2"/>
    <w:link w:val="Style_3"/>
    <w:rPr>
      <w:rFonts w:ascii="Calibri" w:hAnsi="Calibri"/>
      <w:sz w:val="22"/>
    </w:rPr>
  </w:style>
  <w:style w:styleId="Style_36" w:type="paragraph">
    <w:name w:val="toc 1"/>
    <w:next w:val="Style_7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Postan"/>
    <w:basedOn w:val="Style_7"/>
    <w:link w:val="Style_38_ch"/>
    <w:pPr>
      <w:ind/>
      <w:jc w:val="center"/>
    </w:pPr>
  </w:style>
  <w:style w:styleId="Style_38_ch" w:type="character">
    <w:name w:val="Postan"/>
    <w:basedOn w:val="Style_7_ch"/>
    <w:link w:val="Style_38"/>
  </w:style>
  <w:style w:styleId="Style_39" w:type="paragraph">
    <w:name w:val="toc 9"/>
    <w:next w:val="Style_7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Заголовок 5 Знак"/>
    <w:link w:val="Style_40_ch"/>
    <w:rPr>
      <w:rFonts w:ascii="Calibri" w:hAnsi="Calibri"/>
      <w:b w:val="1"/>
      <w:i w:val="1"/>
      <w:sz w:val="26"/>
    </w:rPr>
  </w:style>
  <w:style w:styleId="Style_40_ch" w:type="character">
    <w:name w:val="Заголовок 5 Знак"/>
    <w:link w:val="Style_40"/>
    <w:rPr>
      <w:rFonts w:ascii="Calibri" w:hAnsi="Calibri"/>
      <w:b w:val="1"/>
      <w:i w:val="1"/>
      <w:sz w:val="26"/>
    </w:rPr>
  </w:style>
  <w:style w:styleId="Style_41" w:type="paragraph">
    <w:name w:val="ConsPlusNonformat"/>
    <w:link w:val="Style_41_ch"/>
    <w:pPr>
      <w:widowControl w:val="0"/>
      <w:ind/>
    </w:pPr>
    <w:rPr>
      <w:rFonts w:ascii="Courier New" w:hAnsi="Courier New"/>
      <w:sz w:val="28"/>
    </w:rPr>
  </w:style>
  <w:style w:styleId="Style_41_ch" w:type="character">
    <w:name w:val="ConsPlusNonformat"/>
    <w:link w:val="Style_41"/>
    <w:rPr>
      <w:rFonts w:ascii="Courier New" w:hAnsi="Courier New"/>
      <w:sz w:val="28"/>
    </w:rPr>
  </w:style>
  <w:style w:styleId="Style_42" w:type="paragraph">
    <w:name w:val="Body Text 3"/>
    <w:basedOn w:val="Style_7"/>
    <w:link w:val="Style_42_ch"/>
    <w:pPr>
      <w:ind/>
      <w:jc w:val="center"/>
    </w:pPr>
    <w:rPr>
      <w:b w:val="1"/>
      <w:spacing w:val="14"/>
      <w:sz w:val="32"/>
    </w:rPr>
  </w:style>
  <w:style w:styleId="Style_42_ch" w:type="character">
    <w:name w:val="Body Text 3"/>
    <w:basedOn w:val="Style_7_ch"/>
    <w:link w:val="Style_42"/>
    <w:rPr>
      <w:b w:val="1"/>
      <w:spacing w:val="14"/>
      <w:sz w:val="32"/>
    </w:rPr>
  </w:style>
  <w:style w:styleId="Style_43" w:type="paragraph">
    <w:name w:val="toc 8"/>
    <w:next w:val="Style_7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ConsNormal"/>
    <w:link w:val="Style_44_ch"/>
    <w:pPr>
      <w:widowControl w:val="0"/>
      <w:ind w:firstLine="720" w:left="0" w:right="19772"/>
    </w:pPr>
    <w:rPr>
      <w:rFonts w:ascii="Arial" w:hAnsi="Arial"/>
      <w:sz w:val="28"/>
    </w:rPr>
  </w:style>
  <w:style w:styleId="Style_44_ch" w:type="character">
    <w:name w:val="ConsNormal"/>
    <w:link w:val="Style_44"/>
    <w:rPr>
      <w:rFonts w:ascii="Arial" w:hAnsi="Arial"/>
      <w:sz w:val="28"/>
    </w:rPr>
  </w:style>
  <w:style w:styleId="Style_45" w:type="paragraph">
    <w:name w:val="Без интервала1"/>
    <w:link w:val="Style_45_ch"/>
    <w:rPr>
      <w:rFonts w:ascii="Calibri" w:hAnsi="Calibri"/>
      <w:sz w:val="22"/>
    </w:rPr>
  </w:style>
  <w:style w:styleId="Style_45_ch" w:type="character">
    <w:name w:val="Без интервала1"/>
    <w:link w:val="Style_45"/>
    <w:rPr>
      <w:rFonts w:ascii="Calibri" w:hAnsi="Calibri"/>
      <w:sz w:val="22"/>
    </w:rPr>
  </w:style>
  <w:style w:styleId="Style_46" w:type="paragraph">
    <w:name w:val="toc 5"/>
    <w:next w:val="Style_7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Body Text Indent 2"/>
    <w:basedOn w:val="Style_7"/>
    <w:link w:val="Style_47_ch"/>
    <w:pPr>
      <w:ind w:firstLine="720" w:left="0"/>
      <w:jc w:val="both"/>
    </w:pPr>
  </w:style>
  <w:style w:styleId="Style_47_ch" w:type="character">
    <w:name w:val="Body Text Indent 2"/>
    <w:basedOn w:val="Style_7_ch"/>
    <w:link w:val="Style_47"/>
  </w:style>
  <w:style w:styleId="Style_48" w:type="paragraph">
    <w:name w:val="Balloon Text"/>
    <w:basedOn w:val="Style_7"/>
    <w:link w:val="Style_48_ch"/>
    <w:rPr>
      <w:rFonts w:ascii="Tahoma" w:hAnsi="Tahoma"/>
      <w:sz w:val="16"/>
    </w:rPr>
  </w:style>
  <w:style w:styleId="Style_48_ch" w:type="character">
    <w:name w:val="Balloon Text"/>
    <w:basedOn w:val="Style_7_ch"/>
    <w:link w:val="Style_48"/>
    <w:rPr>
      <w:rFonts w:ascii="Tahoma" w:hAnsi="Tahoma"/>
      <w:sz w:val="16"/>
    </w:rPr>
  </w:style>
  <w:style w:styleId="Style_49" w:type="paragraph">
    <w:name w:val="Body Text Indent 3"/>
    <w:basedOn w:val="Style_7"/>
    <w:link w:val="Style_49_ch"/>
    <w:pPr>
      <w:spacing w:line="320" w:lineRule="atLeast"/>
      <w:ind w:hanging="420" w:left="420"/>
      <w:jc w:val="both"/>
    </w:pPr>
  </w:style>
  <w:style w:styleId="Style_49_ch" w:type="character">
    <w:name w:val="Body Text Indent 3"/>
    <w:basedOn w:val="Style_7_ch"/>
    <w:link w:val="Style_49"/>
  </w:style>
  <w:style w:styleId="Style_50" w:type="paragraph">
    <w:name w:val="Subtitle"/>
    <w:basedOn w:val="Style_7"/>
    <w:link w:val="Style_50_ch"/>
    <w:uiPriority w:val="11"/>
    <w:qFormat/>
    <w:pPr>
      <w:ind w:firstLine="567" w:left="0"/>
      <w:jc w:val="center"/>
    </w:pPr>
    <w:rPr>
      <w:b w:val="1"/>
      <w:i w:val="1"/>
    </w:rPr>
  </w:style>
  <w:style w:styleId="Style_50_ch" w:type="character">
    <w:name w:val="Subtitle"/>
    <w:basedOn w:val="Style_7_ch"/>
    <w:link w:val="Style_50"/>
    <w:rPr>
      <w:b w:val="1"/>
      <w:i w:val="1"/>
    </w:rPr>
  </w:style>
  <w:style w:styleId="Style_51" w:type="paragraph">
    <w:name w:val="Title"/>
    <w:basedOn w:val="Style_7"/>
    <w:link w:val="Style_51_ch"/>
    <w:uiPriority w:val="10"/>
    <w:qFormat/>
    <w:pPr>
      <w:ind w:firstLine="567" w:left="0"/>
      <w:jc w:val="center"/>
    </w:pPr>
    <w:rPr>
      <w:b w:val="1"/>
    </w:rPr>
  </w:style>
  <w:style w:styleId="Style_51_ch" w:type="character">
    <w:name w:val="Title"/>
    <w:basedOn w:val="Style_7_ch"/>
    <w:link w:val="Style_51"/>
    <w:rPr>
      <w:b w:val="1"/>
    </w:rPr>
  </w:style>
  <w:style w:styleId="Style_52" w:type="paragraph">
    <w:name w:val="heading 4"/>
    <w:basedOn w:val="Style_7"/>
    <w:next w:val="Style_7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7_ch"/>
    <w:link w:val="Style_52"/>
    <w:rPr>
      <w:b w:val="1"/>
    </w:rPr>
  </w:style>
  <w:style w:styleId="Style_53" w:type="paragraph">
    <w:name w:val="ConsPlusCell"/>
    <w:link w:val="Style_53_ch"/>
    <w:pPr>
      <w:widowControl w:val="0"/>
      <w:ind/>
    </w:pPr>
    <w:rPr>
      <w:rFonts w:ascii="Calibri" w:hAnsi="Calibri"/>
      <w:sz w:val="22"/>
    </w:rPr>
  </w:style>
  <w:style w:styleId="Style_53_ch" w:type="character">
    <w:name w:val="ConsPlusCell"/>
    <w:link w:val="Style_53"/>
    <w:rPr>
      <w:rFonts w:ascii="Calibri" w:hAnsi="Calibri"/>
      <w:sz w:val="22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  <w:sz w:val="28"/>
    </w:rPr>
  </w:style>
  <w:style w:styleId="Style_6_ch" w:type="character">
    <w:name w:val="ConsPlusNormal"/>
    <w:link w:val="Style_6"/>
    <w:rPr>
      <w:rFonts w:ascii="Arial" w:hAnsi="Arial"/>
      <w:sz w:val="28"/>
    </w:rPr>
  </w:style>
  <w:style w:styleId="Style_54" w:type="paragraph">
    <w:name w:val="heading 2"/>
    <w:basedOn w:val="Style_7"/>
    <w:next w:val="Style_7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7_ch"/>
    <w:link w:val="Style_54"/>
    <w:rPr>
      <w:b w:val="1"/>
    </w:rPr>
  </w:style>
  <w:style w:styleId="Style_55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2024-02-29T08:12:44Z</dcterms:modified>
</cp:coreProperties>
</file>