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Pr="005D1D7C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591" w:rsidRDefault="00853591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44778A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32F21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» октября 201</w:t>
      </w:r>
      <w:r w:rsidR="00D32F21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 w:rsidRPr="0044778A">
        <w:rPr>
          <w:rFonts w:ascii="Times New Roman" w:hAnsi="Times New Roman" w:cs="Times New Roman"/>
          <w:sz w:val="28"/>
          <w:szCs w:val="28"/>
        </w:rPr>
        <w:t>14</w:t>
      </w:r>
      <w:r w:rsidR="00D32F2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 с.Кагальник</w:t>
      </w:r>
    </w:p>
    <w:p w:rsidR="00853591" w:rsidRDefault="00853591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987350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98735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32F21" w:rsidRPr="00D32F21" w:rsidRDefault="00D32F21" w:rsidP="00D32F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 25.10.2018 г. №14</w:t>
      </w:r>
      <w:r>
        <w:rPr>
          <w:rFonts w:ascii="Times New Roman" w:hAnsi="Times New Roman"/>
          <w:sz w:val="28"/>
          <w:szCs w:val="28"/>
          <w:lang w:val="en-US"/>
        </w:rPr>
        <w:t>0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DE4B29" w:rsidRDefault="00DE4B29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853591" w:rsidRDefault="00853591" w:rsidP="0043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2F21" w:rsidRPr="00D32F21" w:rsidRDefault="00D32F21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</w:t>
      </w:r>
      <w:r w:rsidRPr="0081124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75573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  <w:r w:rsidRPr="00775573">
        <w:rPr>
          <w:rFonts w:ascii="Times New Roman" w:hAnsi="Times New Roman"/>
          <w:sz w:val="28"/>
          <w:szCs w:val="28"/>
        </w:rPr>
        <w:t>согласно приложению.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Pr="00D32F21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  <w:lang w:val="en-US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Pr="0044778A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D32F21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F21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32F21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5D1D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44778A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44778A">
        <w:rPr>
          <w:rFonts w:ascii="Times New Roman" w:hAnsi="Times New Roman" w:cs="Times New Roman"/>
          <w:sz w:val="28"/>
          <w:szCs w:val="28"/>
        </w:rPr>
        <w:t xml:space="preserve">« </w:t>
      </w:r>
      <w:r w:rsidR="00D32F21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44778A">
        <w:rPr>
          <w:rFonts w:ascii="Times New Roman" w:hAnsi="Times New Roman" w:cs="Times New Roman"/>
          <w:sz w:val="28"/>
          <w:szCs w:val="28"/>
        </w:rPr>
        <w:t xml:space="preserve"> » октября 201</w:t>
      </w:r>
      <w:r w:rsidR="00D32F2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4778A">
        <w:rPr>
          <w:rFonts w:ascii="Times New Roman" w:hAnsi="Times New Roman" w:cs="Times New Roman"/>
          <w:sz w:val="28"/>
          <w:szCs w:val="28"/>
        </w:rPr>
        <w:t xml:space="preserve"> г.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№</w:t>
      </w:r>
      <w:r w:rsidR="0044778A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D32F2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6C39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6C390E">
        <w:rPr>
          <w:rFonts w:ascii="Times New Roman" w:hAnsi="Times New Roman" w:cs="Times New Roman"/>
          <w:sz w:val="28"/>
          <w:szCs w:val="28"/>
        </w:rPr>
        <w:t>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- обеспечение повышения энергоэффективности в                                      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Кагальницком сельском поселении за счет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организации процесса комплексного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энергосбережения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технических мероприятий в области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газ), расчет за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которые осуществляется по приборам учета, в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 потребляемых в Кагальницком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194525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720D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720D9C">
        <w:rPr>
          <w:rFonts w:ascii="Times New Roman" w:hAnsi="Times New Roman" w:cs="Times New Roman"/>
          <w:sz w:val="28"/>
          <w:szCs w:val="28"/>
        </w:rPr>
        <w:t>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2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F752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ламп накаливания </w:t>
      </w:r>
      <w:r w:rsidR="00F75218">
        <w:rPr>
          <w:rFonts w:ascii="Times New Roman" w:hAnsi="Times New Roman" w:cs="Times New Roman"/>
          <w:sz w:val="28"/>
          <w:szCs w:val="28"/>
        </w:rPr>
        <w:t>и других неэффективных элементов систем освещения, в том числе светильников ,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Pr="00F75218" w:rsidRDefault="0019452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218" w:rsidRPr="00F75218" w:rsidRDefault="00F75218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Pr="00F75218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F75218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636C6" w:rsidRDefault="009636C6" w:rsidP="00274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энергетической эффективности в 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</w:r>
    </w:p>
    <w:p w:rsidR="00F75218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27498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0C5949" w:rsidRPr="00274980" w:rsidRDefault="000C5949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274980" w:rsidTr="005A099B">
        <w:tc>
          <w:tcPr>
            <w:tcW w:w="76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274980" w:rsidTr="005A099B">
        <w:tc>
          <w:tcPr>
            <w:tcW w:w="76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274980" w:rsidTr="005A099B">
        <w:tc>
          <w:tcPr>
            <w:tcW w:w="14786" w:type="dxa"/>
            <w:gridSpan w:val="10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Энергоэффективно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ть и развитие энергетики»</w:t>
            </w:r>
          </w:p>
          <w:p w:rsidR="00C96823" w:rsidRPr="00274980" w:rsidRDefault="00C96823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мов тепловой энергии, потребляемой бюджетным учреждением, расчеты за которую осуществляются с использова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949" w:type="dxa"/>
          </w:tcPr>
          <w:p w:rsidR="001B00AA" w:rsidRPr="00274980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274980" w:rsidTr="005A099B">
        <w:tc>
          <w:tcPr>
            <w:tcW w:w="769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274980" w:rsidTr="005A099B">
        <w:tc>
          <w:tcPr>
            <w:tcW w:w="769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 w:rsidRPr="00274980">
              <w:rPr>
                <w:rFonts w:ascii="Times New Roman" w:hAnsi="Times New Roman" w:cs="Times New Roman"/>
                <w:sz w:val="24"/>
                <w:szCs w:val="24"/>
              </w:rPr>
              <w:t>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Default="00362F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75218" w:rsidRPr="00F75218" w:rsidRDefault="00F7521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7"/>
        <w:gridCol w:w="2678"/>
        <w:gridCol w:w="2112"/>
        <w:gridCol w:w="1401"/>
        <w:gridCol w:w="1409"/>
        <w:gridCol w:w="1881"/>
        <w:gridCol w:w="2743"/>
        <w:gridCol w:w="2015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0AA" w:rsidRPr="00F75218" w:rsidRDefault="00F75218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сельск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914F75" w:rsidRDefault="00914F75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F7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D62B52" w:rsidRDefault="00D62B52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274980" w:rsidRDefault="006C5480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D62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Pr="00F7521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F6" w:rsidRPr="00F75218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D6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P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E92642" w:rsidRPr="00D62B52" w:rsidRDefault="00E92642" w:rsidP="00D62B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124"/>
        <w:gridCol w:w="1134"/>
        <w:gridCol w:w="1843"/>
        <w:gridCol w:w="1559"/>
        <w:gridCol w:w="1559"/>
        <w:gridCol w:w="2847"/>
      </w:tblGrid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8F" w:rsidRDefault="001F0C8F" w:rsidP="00E56224">
      <w:pPr>
        <w:spacing w:after="0" w:line="240" w:lineRule="auto"/>
      </w:pPr>
      <w:r>
        <w:separator/>
      </w:r>
    </w:p>
  </w:endnote>
  <w:endnote w:type="continuationSeparator" w:id="0">
    <w:p w:rsidR="001F0C8F" w:rsidRDefault="001F0C8F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8F" w:rsidRDefault="001F0C8F" w:rsidP="00E56224">
      <w:pPr>
        <w:spacing w:after="0" w:line="240" w:lineRule="auto"/>
      </w:pPr>
      <w:r>
        <w:separator/>
      </w:r>
    </w:p>
  </w:footnote>
  <w:footnote w:type="continuationSeparator" w:id="0">
    <w:p w:rsidR="001F0C8F" w:rsidRDefault="001F0C8F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0536"/>
    <w:rsid w:val="000454D5"/>
    <w:rsid w:val="0007709D"/>
    <w:rsid w:val="000910E7"/>
    <w:rsid w:val="000B7BD9"/>
    <w:rsid w:val="000C5949"/>
    <w:rsid w:val="000F27D9"/>
    <w:rsid w:val="001348B7"/>
    <w:rsid w:val="00137B78"/>
    <w:rsid w:val="00156780"/>
    <w:rsid w:val="00186768"/>
    <w:rsid w:val="00194525"/>
    <w:rsid w:val="001B00AA"/>
    <w:rsid w:val="001F0C8F"/>
    <w:rsid w:val="002074FB"/>
    <w:rsid w:val="00211FA7"/>
    <w:rsid w:val="00222D1F"/>
    <w:rsid w:val="00270373"/>
    <w:rsid w:val="00274980"/>
    <w:rsid w:val="002C1338"/>
    <w:rsid w:val="002D4535"/>
    <w:rsid w:val="003031A7"/>
    <w:rsid w:val="00362FF6"/>
    <w:rsid w:val="003741EB"/>
    <w:rsid w:val="003742D6"/>
    <w:rsid w:val="00385111"/>
    <w:rsid w:val="003866E7"/>
    <w:rsid w:val="003A1CD2"/>
    <w:rsid w:val="003A40F2"/>
    <w:rsid w:val="003A6FCE"/>
    <w:rsid w:val="003F4E5C"/>
    <w:rsid w:val="0043319F"/>
    <w:rsid w:val="00435DFC"/>
    <w:rsid w:val="00440B7C"/>
    <w:rsid w:val="0044778A"/>
    <w:rsid w:val="00455B4F"/>
    <w:rsid w:val="004670DA"/>
    <w:rsid w:val="00493FDE"/>
    <w:rsid w:val="004B6A67"/>
    <w:rsid w:val="005037D4"/>
    <w:rsid w:val="005271C6"/>
    <w:rsid w:val="00536B71"/>
    <w:rsid w:val="00557152"/>
    <w:rsid w:val="005656A8"/>
    <w:rsid w:val="00566C11"/>
    <w:rsid w:val="005A00FC"/>
    <w:rsid w:val="005A099B"/>
    <w:rsid w:val="005D1D7C"/>
    <w:rsid w:val="005E5372"/>
    <w:rsid w:val="005F0A26"/>
    <w:rsid w:val="005F2B61"/>
    <w:rsid w:val="00604563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57C5"/>
    <w:rsid w:val="007C5163"/>
    <w:rsid w:val="007E2704"/>
    <w:rsid w:val="007F25A2"/>
    <w:rsid w:val="008027F6"/>
    <w:rsid w:val="00830881"/>
    <w:rsid w:val="00840F9B"/>
    <w:rsid w:val="00842C45"/>
    <w:rsid w:val="00844957"/>
    <w:rsid w:val="00844C43"/>
    <w:rsid w:val="00853591"/>
    <w:rsid w:val="00883E33"/>
    <w:rsid w:val="00893951"/>
    <w:rsid w:val="00910479"/>
    <w:rsid w:val="00912859"/>
    <w:rsid w:val="00914F75"/>
    <w:rsid w:val="00915D9A"/>
    <w:rsid w:val="00942F69"/>
    <w:rsid w:val="00954118"/>
    <w:rsid w:val="00956B1E"/>
    <w:rsid w:val="00956C25"/>
    <w:rsid w:val="009636C6"/>
    <w:rsid w:val="00990185"/>
    <w:rsid w:val="00993867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F1B67"/>
    <w:rsid w:val="00C559D3"/>
    <w:rsid w:val="00C92EC6"/>
    <w:rsid w:val="00C96823"/>
    <w:rsid w:val="00CD4315"/>
    <w:rsid w:val="00CE0C68"/>
    <w:rsid w:val="00CF51C5"/>
    <w:rsid w:val="00D32F21"/>
    <w:rsid w:val="00D5087A"/>
    <w:rsid w:val="00D57DFF"/>
    <w:rsid w:val="00D62B52"/>
    <w:rsid w:val="00D735A9"/>
    <w:rsid w:val="00D77DFC"/>
    <w:rsid w:val="00DA60F3"/>
    <w:rsid w:val="00DD7B07"/>
    <w:rsid w:val="00DE2290"/>
    <w:rsid w:val="00DE4B29"/>
    <w:rsid w:val="00E03FA8"/>
    <w:rsid w:val="00E142B9"/>
    <w:rsid w:val="00E15161"/>
    <w:rsid w:val="00E21AA6"/>
    <w:rsid w:val="00E237F3"/>
    <w:rsid w:val="00E56224"/>
    <w:rsid w:val="00E62A8F"/>
    <w:rsid w:val="00E76848"/>
    <w:rsid w:val="00E92642"/>
    <w:rsid w:val="00E96B8F"/>
    <w:rsid w:val="00EA2E66"/>
    <w:rsid w:val="00EB0E90"/>
    <w:rsid w:val="00EE3500"/>
    <w:rsid w:val="00F02AEA"/>
    <w:rsid w:val="00F47D06"/>
    <w:rsid w:val="00F521B6"/>
    <w:rsid w:val="00F527E9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68CD-6CC6-4546-868A-B9DC88C4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2018-12-19T13:34:00Z</cp:lastPrinted>
  <dcterms:created xsi:type="dcterms:W3CDTF">2020-01-08T07:37:00Z</dcterms:created>
  <dcterms:modified xsi:type="dcterms:W3CDTF">2020-01-08T07:37:00Z</dcterms:modified>
</cp:coreProperties>
</file>