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«28» апреля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№53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rFonts w:ascii="Calibri" w:hAnsi="Calibri"/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28.04.2023 №53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7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5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A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4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 Paragraph"/>
    <w:basedOn w:val="Style_6"/>
    <w:link w:val="Style_10_ch"/>
    <w:pPr>
      <w:ind w:firstLine="0" w:left="720"/>
    </w:pPr>
  </w:style>
  <w:style w:styleId="Style_10_ch" w:type="character">
    <w:name w:val="List Paragraph"/>
    <w:basedOn w:val="Style_6_ch"/>
    <w:link w:val="Style_10"/>
  </w:style>
  <w:style w:styleId="Style_11" w:type="paragraph">
    <w:name w:val="Body text"/>
    <w:link w:val="Style_11_ch"/>
    <w:rPr>
      <w:rFonts w:ascii="Book Antiqua" w:hAnsi="Book Antiqua"/>
      <w:color w:val="000000"/>
      <w:spacing w:val="0"/>
      <w:sz w:val="29"/>
      <w:u w:val="none"/>
    </w:rPr>
  </w:style>
  <w:style w:styleId="Style_11_ch" w:type="character">
    <w:name w:val="Body text"/>
    <w:link w:val="Style_11"/>
    <w:rPr>
      <w:rFonts w:ascii="Book Antiqua" w:hAnsi="Book Antiqua"/>
      <w:color w:val="000000"/>
      <w:spacing w:val="0"/>
      <w:sz w:val="29"/>
      <w:u w:val="none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Отчетный"/>
    <w:basedOn w:val="Style_6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6_ch"/>
    <w:link w:val="Style_20"/>
    <w:rPr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Гипертекстовая ссылка"/>
    <w:link w:val="Style_24_ch"/>
    <w:rPr>
      <w:color w:val="000000"/>
      <w:sz w:val="26"/>
    </w:rPr>
  </w:style>
  <w:style w:styleId="Style_24_ch" w:type="character">
    <w:name w:val="Гипертекстовая ссылка"/>
    <w:link w:val="Style_24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нак11"/>
    <w:basedOn w:val="Style_6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6_ch"/>
    <w:link w:val="Style_26"/>
    <w:rPr>
      <w:rFonts w:ascii="Tahoma" w:hAnsi="Tahoma"/>
    </w:rPr>
  </w:style>
  <w:style w:styleId="Style_27" w:type="paragraph">
    <w:name w:val="Основной текст1"/>
    <w:link w:val="Style_27_ch"/>
    <w:rPr>
      <w:rFonts w:ascii="Courier New" w:hAnsi="Courier New"/>
      <w:color w:val="000000"/>
      <w:spacing w:val="0"/>
      <w:sz w:val="18"/>
      <w:highlight w:val="white"/>
    </w:rPr>
  </w:style>
  <w:style w:styleId="Style_27_ch" w:type="character">
    <w:name w:val="Основной текст1"/>
    <w:link w:val="Style_27"/>
    <w:rPr>
      <w:rFonts w:ascii="Courier New" w:hAnsi="Courier New"/>
      <w:color w:val="000000"/>
      <w:spacing w:val="0"/>
      <w:sz w:val="18"/>
      <w:highlight w:val="white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Основной текст5"/>
    <w:basedOn w:val="Style_6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6_ch"/>
    <w:link w:val="Style_29"/>
    <w:rPr>
      <w:sz w:val="18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Postan"/>
    <w:basedOn w:val="Style_6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6_ch"/>
    <w:link w:val="Style_34"/>
    <w:rPr>
      <w:sz w:val="28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"/>
    <w:basedOn w:val="Style_6"/>
    <w:link w:val="Style_42_ch"/>
  </w:style>
  <w:style w:styleId="Style_42_ch" w:type="character">
    <w:name w:val="Body Text"/>
    <w:basedOn w:val="Style_6_ch"/>
    <w:link w:val="Style_42"/>
  </w:style>
  <w:style w:styleId="Style_43" w:type="paragraph">
    <w:name w:val="Знак1"/>
    <w:basedOn w:val="Style_6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"/>
    <w:basedOn w:val="Style_6_ch"/>
    <w:link w:val="Style_43"/>
    <w:rPr>
      <w:rFonts w:ascii="Tahoma" w:hAnsi="Tahoma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46" w:type="paragraph">
    <w:name w:val="Normal (Web)"/>
    <w:basedOn w:val="Style_6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6_ch"/>
    <w:link w:val="Style_46"/>
    <w:rPr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2023-05-15T12:59:30Z</dcterms:modified>
</cp:coreProperties>
</file>