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7000000">
      <w:pPr>
        <w:pStyle w:val="Style_4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8000000">
      <w:pPr>
        <w:pStyle w:val="Style_4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9000000">
      <w:pPr>
        <w:pStyle w:val="Style_4"/>
        <w:ind/>
        <w:jc w:val="center"/>
        <w:rPr>
          <w:sz w:val="28"/>
        </w:rPr>
      </w:pPr>
    </w:p>
    <w:p w14:paraId="0A000000">
      <w:pPr>
        <w:pStyle w:val="Style_4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pStyle w:val="Style_4"/>
        <w:ind/>
        <w:jc w:val="center"/>
      </w:pPr>
    </w:p>
    <w:p w14:paraId="0C000000">
      <w:pPr>
        <w:ind w:right="1"/>
        <w:rPr>
          <w:sz w:val="28"/>
        </w:rPr>
      </w:pPr>
      <w:r>
        <w:rPr>
          <w:rStyle w:val="Style_5_ch"/>
          <w:b w:val="0"/>
          <w:i w:val="0"/>
          <w:sz w:val="28"/>
        </w:rPr>
        <w:t>27.02.2023</w:t>
      </w:r>
      <w:r>
        <w:rPr>
          <w:rStyle w:val="Style_5_ch"/>
          <w:b w:val="0"/>
          <w:i w:val="0"/>
          <w:sz w:val="28"/>
        </w:rPr>
        <w:t xml:space="preserve"> г.</w:t>
      </w:r>
      <w:r>
        <w:rPr>
          <w:rStyle w:val="Style_5_ch"/>
          <w:b w:val="0"/>
          <w:i w:val="0"/>
          <w:sz w:val="28"/>
        </w:rPr>
        <w:t xml:space="preserve">                         </w:t>
      </w:r>
      <w:r>
        <w:rPr>
          <w:rStyle w:val="Style_5_ch"/>
          <w:b w:val="0"/>
          <w:i w:val="0"/>
          <w:sz w:val="28"/>
        </w:rPr>
        <w:tab/>
      </w:r>
      <w:r>
        <w:rPr>
          <w:rStyle w:val="Style_5_ch"/>
          <w:b w:val="0"/>
          <w:i w:val="0"/>
          <w:sz w:val="28"/>
        </w:rPr>
        <w:t xml:space="preserve">              </w:t>
      </w:r>
      <w:r>
        <w:rPr>
          <w:rStyle w:val="Style_5_ch"/>
          <w:b w:val="0"/>
          <w:i w:val="0"/>
          <w:sz w:val="28"/>
        </w:rPr>
        <w:t>№</w:t>
      </w:r>
      <w:r>
        <w:rPr>
          <w:rStyle w:val="Style_5_ch"/>
          <w:b w:val="0"/>
          <w:i w:val="0"/>
          <w:sz w:val="28"/>
        </w:rPr>
        <w:t>28</w:t>
      </w:r>
      <w:r>
        <w:rPr>
          <w:rStyle w:val="Style_5_ch"/>
          <w:b w:val="0"/>
          <w:i w:val="0"/>
          <w:sz w:val="28"/>
        </w:rPr>
        <w:t xml:space="preserve">                                                 </w:t>
      </w:r>
      <w:r>
        <w:rPr>
          <w:rStyle w:val="Style_5_ch"/>
          <w:b w:val="0"/>
          <w:i w:val="0"/>
          <w:sz w:val="28"/>
        </w:rPr>
        <w:t>с.Кагальник</w:t>
      </w:r>
    </w:p>
    <w:p w14:paraId="0D000000">
      <w:pPr>
        <w:ind w:right="1"/>
        <w:rPr>
          <w:sz w:val="28"/>
        </w:rPr>
      </w:pPr>
    </w:p>
    <w:p w14:paraId="0E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 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«Благоустройство территории</w:t>
      </w:r>
      <w:r>
        <w:rPr>
          <w:sz w:val="28"/>
        </w:rPr>
        <w:t>» за 2022 год</w:t>
      </w:r>
    </w:p>
    <w:p w14:paraId="0F000000">
      <w:pPr>
        <w:ind w:right="411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6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>»,</w:t>
      </w: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pStyle w:val="Style_7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14:paraId="13000000">
      <w:pPr>
        <w:ind w:firstLine="709" w:left="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к настоящему постановлению.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А</w:t>
      </w:r>
      <w:r>
        <w:rPr>
          <w:sz w:val="28"/>
        </w:rPr>
        <w:t xml:space="preserve">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276" w:right="567" w:top="426"/>
        </w:sectPr>
      </w:pP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Приложение  </w:t>
      </w:r>
      <w:r>
        <w:rPr>
          <w:sz w:val="24"/>
        </w:rPr>
        <w:t xml:space="preserve">к  постановлению администрации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от  27.02.2023</w:t>
      </w:r>
      <w:r>
        <w:rPr>
          <w:sz w:val="24"/>
        </w:rPr>
        <w:t>г. №28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Об утверждении отчета </w:t>
      </w:r>
    </w:p>
    <w:p w14:paraId="21000000">
      <w:pPr>
        <w:ind w:right="-2"/>
        <w:jc w:val="right"/>
        <w:rPr>
          <w:sz w:val="24"/>
        </w:rPr>
      </w:pPr>
      <w:r>
        <w:rPr>
          <w:sz w:val="24"/>
        </w:rPr>
        <w:t>о реализации 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Кагальницкого </w:t>
      </w:r>
      <w:r>
        <w:rPr>
          <w:sz w:val="24"/>
        </w:rPr>
        <w:t>сельского поселения «Благоустройство территории» за 2022 год»</w:t>
      </w:r>
    </w:p>
    <w:p w14:paraId="22000000">
      <w:pPr>
        <w:ind/>
        <w:jc w:val="right"/>
        <w:rPr>
          <w:sz w:val="24"/>
        </w:rPr>
      </w:pPr>
    </w:p>
    <w:p w14:paraId="23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</w:p>
    <w:p w14:paraId="28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9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год</w:t>
      </w:r>
    </w:p>
    <w:p w14:paraId="2A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B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C000000">
      <w:pPr>
        <w:pStyle w:val="Style_9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>повышения уровня благоустроенности и комфортного проживания 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году реализован комплекс мероприятий, в результате которых:</w:t>
      </w:r>
    </w:p>
    <w:p w14:paraId="2D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Реализован национальный проект «Комфортная городская среда», в рамках которого благоустроен сквер «Рыбацкий берег»</w:t>
      </w:r>
      <w:r>
        <w:rPr>
          <w:color w:val="000000"/>
          <w:sz w:val="28"/>
        </w:rPr>
        <w:t>;</w:t>
      </w:r>
    </w:p>
    <w:p w14:paraId="2E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2. проведена акарицидная обработка общественных территорий сельского поселения;</w:t>
      </w:r>
    </w:p>
    <w:p w14:paraId="2F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лучшен</w:t>
      </w:r>
      <w:r>
        <w:rPr>
          <w:color w:val="000000"/>
          <w:sz w:val="28"/>
        </w:rPr>
        <w:t>а степень</w:t>
      </w:r>
      <w:r>
        <w:rPr>
          <w:color w:val="000000"/>
          <w:sz w:val="28"/>
        </w:rPr>
        <w:t xml:space="preserve"> благоустройства Кагальницкого сельского поселения (уборка и покос территории);</w:t>
      </w:r>
    </w:p>
    <w:p w14:paraId="30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 Созда</w:t>
      </w:r>
      <w:r>
        <w:rPr>
          <w:color w:val="000000"/>
          <w:sz w:val="28"/>
        </w:rPr>
        <w:t>ны</w:t>
      </w:r>
      <w:r>
        <w:rPr>
          <w:color w:val="000000"/>
          <w:sz w:val="28"/>
        </w:rPr>
        <w:t xml:space="preserve"> услови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для работы и отдыха жителей поселения (обеспечен общественный порядок на территории сквера «Рыбацкий берег», приобретен пост для охраны, проведены мероприятия по отлову и содержанию безнадзорных животных).</w:t>
      </w:r>
    </w:p>
    <w:p w14:paraId="31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4. Установлены и оборудованы места для накопления и вывоза твердых бытовых отходов на общественных территориях  и территориях многоквартирных домов.</w:t>
      </w:r>
    </w:p>
    <w:p w14:paraId="32000000">
      <w:pPr>
        <w:spacing w:line="276" w:lineRule="auto"/>
        <w:ind/>
        <w:jc w:val="both"/>
        <w:rPr>
          <w:color w:val="000000"/>
          <w:sz w:val="28"/>
        </w:rPr>
      </w:pPr>
    </w:p>
    <w:p w14:paraId="33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4000000">
      <w:pPr>
        <w:spacing w:line="276" w:lineRule="auto"/>
        <w:ind w:firstLine="720" w:left="0"/>
        <w:jc w:val="both"/>
        <w:rPr>
          <w:sz w:val="28"/>
        </w:rPr>
      </w:pPr>
    </w:p>
    <w:p w14:paraId="35000000">
      <w:pPr>
        <w:pStyle w:val="Style_9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«Благоустройство территории» предусмотрено выполнение 2 подпрограмм, в рамках которых выполняется реализация 8 основных мероприятий:</w:t>
      </w:r>
      <w:r>
        <w:rPr>
          <w:rStyle w:val="Style_9_ch"/>
          <w:sz w:val="28"/>
        </w:rPr>
        <w:t xml:space="preserve"> о</w:t>
      </w:r>
      <w:r>
        <w:rPr>
          <w:rStyle w:val="Style_9_ch"/>
          <w:sz w:val="28"/>
        </w:rPr>
        <w:t>сновное мероприятие 1.1. «Расходы на дезинфекцию и дератизацию от насекомых»</w:t>
      </w:r>
      <w:r>
        <w:rPr>
          <w:rStyle w:val="Style_9_ch"/>
          <w:sz w:val="28"/>
        </w:rPr>
        <w:t>, о</w:t>
      </w:r>
      <w:r>
        <w:rPr>
          <w:rStyle w:val="Style_9_ch"/>
          <w:sz w:val="28"/>
        </w:rPr>
        <w:t>сновное мероприятие 1.2. «Прочее благоустройство», о</w:t>
      </w:r>
      <w:r>
        <w:rPr>
          <w:rStyle w:val="Style_9_ch"/>
          <w:sz w:val="28"/>
        </w:rPr>
        <w:t>сновное мероприятие 1.3. «Расходы по содержанию и ремонту площадок мусорных контейнеров и площадок к ним, а так же содержание территории сельского поселения», о</w:t>
      </w:r>
      <w:r>
        <w:rPr>
          <w:rStyle w:val="Style_9_ch"/>
          <w:sz w:val="28"/>
        </w:rPr>
        <w:t>сновное мероприятие 1.</w:t>
      </w:r>
      <w:r>
        <w:rPr>
          <w:rStyle w:val="Style_9_ch"/>
          <w:sz w:val="28"/>
        </w:rPr>
        <w:t>4</w:t>
      </w:r>
      <w:r>
        <w:rPr>
          <w:rStyle w:val="Style_9_ch"/>
          <w:sz w:val="28"/>
        </w:rPr>
        <w:t>. «Расходы по отлову бродячих животных», о</w:t>
      </w:r>
      <w:r>
        <w:rPr>
          <w:rStyle w:val="Style_9_ch"/>
          <w:sz w:val="28"/>
        </w:rPr>
        <w:t>сновное мероприятие 1.5. «</w:t>
      </w:r>
      <w:r>
        <w:rPr>
          <w:rStyle w:val="Style_9_ch"/>
          <w:sz w:val="28"/>
        </w:rPr>
        <w:t>Расходы на обустройство территории сквера», о</w:t>
      </w:r>
      <w:r>
        <w:rPr>
          <w:rStyle w:val="Style_9_ch"/>
          <w:sz w:val="28"/>
        </w:rPr>
        <w:t>сновное мероприятие 1.6. «Обеспечение общественного порядка», о</w:t>
      </w:r>
      <w:r>
        <w:rPr>
          <w:rStyle w:val="Style_9_ch"/>
          <w:sz w:val="28"/>
        </w:rPr>
        <w:t>сновное мероприятие 2.1. «</w:t>
      </w:r>
      <w:r>
        <w:rPr>
          <w:rStyle w:val="Style_9_ch"/>
          <w:sz w:val="28"/>
        </w:rPr>
        <w:t>Расходы на строительный и авторский надзор», о</w:t>
      </w:r>
      <w:r>
        <w:rPr>
          <w:rStyle w:val="Style_9_ch"/>
          <w:sz w:val="28"/>
        </w:rPr>
        <w:t>сновное мероприятие 2.2. «</w:t>
      </w:r>
      <w:r>
        <w:rPr>
          <w:rStyle w:val="Style_9_ch"/>
          <w:sz w:val="28"/>
        </w:rPr>
        <w:t>Благоустройство общественной территории, расположенной по адресу: с.Кагальник, ул.Пролетарская, 41/1,41/2». Степень реализации основных мероприятий выполнены в полном объеме:</w:t>
      </w:r>
    </w:p>
    <w:p w14:paraId="36000000">
      <w:pPr>
        <w:pStyle w:val="Style_9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СРом=8/8=1.</w:t>
      </w:r>
    </w:p>
    <w:p w14:paraId="37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8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9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A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B000000">
      <w:pPr>
        <w:pStyle w:val="Style_9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C000000">
      <w:pPr>
        <w:pStyle w:val="Style_9"/>
        <w:spacing w:after="0" w:before="0" w:line="276" w:lineRule="auto"/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D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3E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F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0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</w:p>
    <w:p w14:paraId="41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год составил </w:t>
      </w:r>
      <w:r>
        <w:rPr>
          <w:color w:val="000000"/>
          <w:sz w:val="28"/>
        </w:rPr>
        <w:t>11 521,8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тыс. рублей,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том числе по источникам финансирования:</w:t>
      </w:r>
    </w:p>
    <w:p w14:paraId="42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федеральный бюджет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рублей;</w:t>
      </w:r>
    </w:p>
    <w:p w14:paraId="43000000">
      <w:pPr>
        <w:widowControl w:val="0"/>
        <w:spacing w:line="276" w:lineRule="auto"/>
        <w:ind w:firstLine="709" w:left="0"/>
        <w:rPr>
          <w:i w:val="1"/>
          <w:color w:val="000000"/>
          <w:sz w:val="18"/>
        </w:rPr>
      </w:pPr>
      <w:r>
        <w:rPr>
          <w:color w:val="000000"/>
          <w:sz w:val="28"/>
        </w:rPr>
        <w:t xml:space="preserve">областной бюджет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рублей;</w:t>
      </w:r>
      <w:r>
        <w:rPr>
          <w:i w:val="1"/>
          <w:color w:val="000000"/>
          <w:sz w:val="18"/>
        </w:rPr>
        <w:t xml:space="preserve">                                                                </w:t>
      </w:r>
      <w:r>
        <w:rPr>
          <w:i w:val="1"/>
          <w:color w:val="000000"/>
          <w:sz w:val="18"/>
        </w:rPr>
        <w:tab/>
      </w:r>
      <w:r>
        <w:rPr>
          <w:i w:val="1"/>
          <w:color w:val="000000"/>
          <w:sz w:val="18"/>
        </w:rPr>
        <w:tab/>
      </w:r>
      <w:r>
        <w:rPr>
          <w:i w:val="1"/>
          <w:color w:val="000000"/>
          <w:sz w:val="18"/>
        </w:rPr>
        <w:tab/>
      </w:r>
    </w:p>
    <w:p w14:paraId="44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районный бюджет 10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рублей;</w:t>
      </w:r>
    </w:p>
    <w:p w14:paraId="45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местный бюджет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рублей;</w:t>
      </w:r>
      <w:r>
        <w:rPr>
          <w:i w:val="1"/>
          <w:color w:val="000000"/>
          <w:sz w:val="18"/>
        </w:rPr>
        <w:t xml:space="preserve">                                                        </w:t>
      </w:r>
    </w:p>
    <w:p w14:paraId="46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внебюджетные источники 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рублей.</w:t>
      </w:r>
      <w:r>
        <w:rPr>
          <w:i w:val="1"/>
          <w:color w:val="000000"/>
          <w:sz w:val="18"/>
        </w:rPr>
        <w:t xml:space="preserve">                                                                                   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11 476,3</w:t>
      </w:r>
      <w:r>
        <w:rPr>
          <w:sz w:val="28"/>
        </w:rPr>
        <w:t xml:space="preserve"> тыс. рублей, в том числе по источникам финансирования: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8 979,4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</w:t>
      </w:r>
    </w:p>
    <w:p w14:paraId="4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областной бюджет 183,3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  <w:r>
        <w:rPr>
          <w:i w:val="1"/>
          <w:sz w:val="18"/>
        </w:rPr>
        <w:t xml:space="preserve">                              </w:t>
      </w:r>
      <w:r>
        <w:rPr>
          <w:i w:val="1"/>
          <w:sz w:val="18"/>
        </w:rPr>
        <w:t xml:space="preserve">  </w:t>
      </w:r>
    </w:p>
    <w:p w14:paraId="4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районный бюджет 10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местный бюджет 2 213,6</w:t>
      </w:r>
      <w:r>
        <w:rPr>
          <w:sz w:val="28"/>
        </w:rPr>
        <w:t xml:space="preserve"> 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D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45,5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212</w:t>
      </w:r>
      <w:r>
        <w:rPr>
          <w:sz w:val="28"/>
        </w:rPr>
        <w:t xml:space="preserve">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F000000">
      <w:pPr>
        <w:spacing w:line="276" w:lineRule="auto"/>
        <w:ind w:firstLine="709" w:left="0"/>
        <w:jc w:val="both"/>
        <w:rPr>
          <w:sz w:val="28"/>
        </w:rPr>
      </w:pPr>
    </w:p>
    <w:p w14:paraId="50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1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2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53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</w:p>
    <w:p w14:paraId="54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 </w:t>
      </w:r>
      <w:r>
        <w:rPr>
          <w:sz w:val="28"/>
        </w:rPr>
        <w:t>1</w:t>
      </w:r>
      <w:r>
        <w:rPr>
          <w:sz w:val="28"/>
        </w:rPr>
        <w:t xml:space="preserve"> показател</w:t>
      </w:r>
      <w:r>
        <w:rPr>
          <w:sz w:val="28"/>
        </w:rPr>
        <w:t>ь</w:t>
      </w:r>
      <w:r>
        <w:rPr>
          <w:sz w:val="28"/>
        </w:rPr>
        <w:t xml:space="preserve">, по </w:t>
      </w:r>
      <w:r>
        <w:rPr>
          <w:sz w:val="28"/>
        </w:rPr>
        <w:t>которому</w:t>
      </w:r>
      <w:r>
        <w:rPr>
          <w:sz w:val="28"/>
        </w:rPr>
        <w:t xml:space="preserve"> </w:t>
      </w:r>
      <w:r>
        <w:rPr>
          <w:sz w:val="28"/>
        </w:rPr>
        <w:t>фактическое значение превышает плановое</w:t>
      </w:r>
      <w:r>
        <w:rPr>
          <w:sz w:val="28"/>
        </w:rPr>
        <w:t>.</w:t>
      </w:r>
    </w:p>
    <w:p w14:paraId="5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подпрограмм:</w:t>
      </w:r>
    </w:p>
    <w:p w14:paraId="56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Со=1/1=1,</w:t>
      </w:r>
    </w:p>
    <w:p w14:paraId="5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что характеризует высокий уровень эффективности реализации муниципальной программы по степени достижения целевых показателей. </w:t>
      </w:r>
    </w:p>
    <w:p w14:paraId="5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9000000">
      <w:pPr>
        <w:pStyle w:val="Style_9"/>
        <w:spacing w:after="0" w:before="0" w:line="276" w:lineRule="auto"/>
        <w:ind/>
        <w:rPr>
          <w:sz w:val="28"/>
        </w:rPr>
      </w:pPr>
    </w:p>
    <w:p w14:paraId="5A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B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5_ch"/>
          <w:rFonts w:ascii="Times New Roman" w:hAnsi="Times New Roman"/>
          <w:sz w:val="28"/>
        </w:rPr>
        <w:t xml:space="preserve"> с</w:t>
      </w:r>
      <w:r>
        <w:rPr>
          <w:rStyle w:val="Style_5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C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D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5_ch"/>
          <w:rFonts w:ascii="Times New Roman" w:hAnsi="Times New Roman"/>
          <w:sz w:val="28"/>
        </w:rPr>
        <w:t xml:space="preserve">ы.      </w:t>
      </w:r>
    </w:p>
    <w:p w14:paraId="5E000000">
      <w:pPr>
        <w:pStyle w:val="Style_9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F000000">
      <w:pPr>
        <w:pStyle w:val="Style_10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60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 xml:space="preserve">реализации комплекса мероприятий по  </w:t>
      </w:r>
      <w:r>
        <w:rPr>
          <w:color w:val="000000"/>
          <w:sz w:val="28"/>
        </w:rPr>
        <w:t>снижению экологической нагрузки, улучшение  санитарной обстановки, улучшению степени благоустройства Кагальницкого сельского поселения, созданию условий для работы и отдыха жителей поселения.</w:t>
      </w:r>
    </w:p>
    <w:p w14:paraId="61000000">
      <w:pPr>
        <w:ind/>
        <w:jc w:val="both"/>
        <w:rPr>
          <w:sz w:val="28"/>
        </w:rPr>
      </w:pPr>
    </w:p>
    <w:p w14:paraId="62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63000000">
      <w:pPr>
        <w:sectPr>
          <w:headerReference r:id="rId1" w:type="default"/>
          <w:footerReference r:id="rId2" w:type="default"/>
          <w:pgSz w:h="16838" w:orient="portrait" w:w="11906"/>
          <w:pgMar w:bottom="1134" w:footer="709" w:gutter="0" w:header="709" w:left="1418" w:right="567" w:top="426"/>
        </w:sectPr>
      </w:pPr>
    </w:p>
    <w:p w14:paraId="64000000">
      <w:pPr>
        <w:ind w:right="-2"/>
        <w:jc w:val="right"/>
        <w:rPr>
          <w:sz w:val="24"/>
        </w:rPr>
      </w:pPr>
    </w:p>
    <w:p w14:paraId="65000000">
      <w:pPr>
        <w:ind w:firstLine="0" w:left="8505"/>
        <w:jc w:val="right"/>
        <w:rPr>
          <w:sz w:val="24"/>
        </w:rPr>
      </w:pPr>
    </w:p>
    <w:p w14:paraId="6600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7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8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9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A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«Благоустройство</w:t>
      </w:r>
      <w:r>
        <w:rPr>
          <w:rStyle w:val="Style_5_ch"/>
          <w:rFonts w:ascii="Times New Roman" w:hAnsi="Times New Roman"/>
          <w:sz w:val="28"/>
        </w:rPr>
        <w:t xml:space="preserve"> территории</w:t>
      </w:r>
      <w:r>
        <w:rPr>
          <w:rStyle w:val="Style_5_ch"/>
          <w:rFonts w:ascii="Times New Roman" w:hAnsi="Times New Roman"/>
          <w:sz w:val="28"/>
        </w:rPr>
        <w:t>» з</w:t>
      </w:r>
      <w:r>
        <w:rPr>
          <w:rStyle w:val="Style_5_ch"/>
          <w:rFonts w:ascii="Times New Roman" w:hAnsi="Times New Roman"/>
          <w:sz w:val="28"/>
        </w:rPr>
        <w:t xml:space="preserve">а 2022 год   </w:t>
      </w:r>
    </w:p>
    <w:p w14:paraId="6B000000">
      <w:pPr>
        <w:ind w:firstLine="0" w:left="-708"/>
        <w:jc w:val="right"/>
        <w:rPr>
          <w:sz w:val="24"/>
        </w:rPr>
      </w:pP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  <w:p w14:paraId="8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6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эколог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ческой нагрузки, улучшение  сан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тарной обстановки</w:t>
            </w:r>
          </w:p>
          <w:p w14:paraId="8B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на территории поселения 2 раза в год проводится акарицидная обработка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726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1.2. Прочее благоустройство</w:t>
            </w:r>
          </w:p>
          <w:p w14:paraId="9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приобретена моторная газонокосилка для обеспечения покоса территории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  <w:p w14:paraId="9A000000">
            <w:pPr>
              <w:ind/>
              <w:jc w:val="left"/>
              <w:rPr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  <w:p w14:paraId="A0000000">
            <w:pPr>
              <w:rPr>
                <w:sz w:val="22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обустроено 8 площадок для сбора твердых бытовых отходов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  <w:p w14:paraId="A5000000">
            <w:pPr>
              <w:rPr>
                <w:sz w:val="24"/>
              </w:rPr>
            </w:pPr>
          </w:p>
          <w:p w14:paraId="A6000000">
            <w:pPr>
              <w:spacing w:line="216" w:lineRule="auto"/>
              <w:ind/>
              <w:rPr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мероприятия по вылову и содержанию 16 безнадзорных собак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1.5. </w:t>
            </w:r>
            <w:r>
              <w:rPr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Приобре</w:t>
            </w:r>
            <w:r>
              <w:rPr>
                <w:sz w:val="22"/>
              </w:rPr>
              <w:t>тен блок-контейнер для охраны, территория сквера подключена к интернету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1.6. Обеспечение общественного порядка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rPr>
                <w:sz w:val="22"/>
              </w:rPr>
            </w:pPr>
            <w:r>
              <w:rPr>
                <w:sz w:val="22"/>
              </w:rPr>
              <w:t>Обеспечение круглосуточной охрана территории сквера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sz w:val="22"/>
              </w:rPr>
              <w:t>Круглосуточная охрана территории сквера обеспечена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современной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 среды на территории Кагальницкого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>Расходы на строительный и авторский надзор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над исполнением </w:t>
            </w:r>
            <w:r>
              <w:rPr>
                <w:sz w:val="24"/>
              </w:rPr>
              <w:t>обус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поселения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над исполнением </w:t>
            </w:r>
            <w:r>
              <w:rPr>
                <w:sz w:val="24"/>
              </w:rPr>
              <w:t>благоустройства сквера обеспечен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  <w:r>
              <w:rPr>
                <w:sz w:val="24"/>
              </w:rPr>
              <w:t>Благоустройство общественной территории, расположенной по адресу: с.Кагальник, ул.Пролетарская, 41/1,41/2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Надлежащее  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 и обус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ройство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поселения, 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благоустройства и озеленения</w:t>
            </w:r>
          </w:p>
          <w:p w14:paraId="D1000000">
            <w:pPr>
              <w:rPr>
                <w:sz w:val="24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Благоустройство общественной территории, расположенной по адресу: с.Кагальник, ул.Пролетарская, 41/1,41/2 реализовано в полном объеме, объект сдан подрядной организацией.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D4000000">
      <w:pPr>
        <w:rPr>
          <w:sz w:val="24"/>
        </w:rPr>
      </w:pPr>
    </w:p>
    <w:p w14:paraId="D5000000">
      <w:pPr>
        <w:rPr>
          <w:sz w:val="24"/>
        </w:rPr>
      </w:pPr>
    </w:p>
    <w:p w14:paraId="D600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D7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8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D9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DA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DB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5_ch"/>
          <w:rFonts w:ascii="Times New Roman" w:hAnsi="Times New Roman"/>
          <w:sz w:val="28"/>
        </w:rPr>
        <w:t>Благоустройство</w:t>
      </w:r>
      <w:r>
        <w:rPr>
          <w:rStyle w:val="Style_5_ch"/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» за 2022 год </w:t>
      </w:r>
    </w:p>
    <w:p w14:paraId="DC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1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D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«</w:t>
            </w:r>
            <w:r>
              <w:rPr>
                <w:rStyle w:val="Style_5_ch"/>
                <w:rFonts w:ascii="Times New Roman" w:hAnsi="Times New Roman"/>
                <w:sz w:val="24"/>
              </w:rPr>
              <w:t>Благоустройство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территории</w:t>
            </w:r>
            <w:r>
              <w:rPr>
                <w:rStyle w:val="Style_5_ch"/>
                <w:rFonts w:ascii="Times New Roman" w:hAnsi="Times New Roman"/>
                <w:sz w:val="24"/>
              </w:rPr>
              <w:t>»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11 521,8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11 521,8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11 476,3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8 979,5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8 979,5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8 979,4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183,3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183,3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183,3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2 259,0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2 259,0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2 213,6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3010000">
      <w:pPr>
        <w:ind/>
        <w:jc w:val="right"/>
        <w:rPr>
          <w:sz w:val="24"/>
        </w:rPr>
      </w:pPr>
    </w:p>
    <w:p w14:paraId="04010000">
      <w:pPr>
        <w:widowControl w:val="0"/>
        <w:ind/>
        <w:jc w:val="center"/>
        <w:rPr>
          <w:sz w:val="24"/>
        </w:rPr>
      </w:pPr>
    </w:p>
    <w:p w14:paraId="05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6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7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8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9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A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B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C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D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E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F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10010000">
      <w:pPr>
        <w:pStyle w:val="Style_5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1101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12010000">
      <w:pPr>
        <w:widowControl w:val="0"/>
        <w:ind w:firstLine="540" w:left="0"/>
        <w:jc w:val="right"/>
        <w:rPr>
          <w:sz w:val="24"/>
        </w:rPr>
      </w:pPr>
    </w:p>
    <w:p w14:paraId="1301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14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1"/>
        <w:tblInd w:type="dxa" w:w="1597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739"/>
        <w:gridCol w:w="3293"/>
        <w:gridCol w:w="1418"/>
        <w:gridCol w:w="2104"/>
        <w:gridCol w:w="1080"/>
        <w:gridCol w:w="1994"/>
        <w:gridCol w:w="221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28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Муниципальная   про</w:t>
            </w:r>
            <w:r>
              <w:rPr>
                <w:rStyle w:val="Style_5_ch"/>
                <w:sz w:val="24"/>
              </w:rPr>
              <w:t xml:space="preserve">грамма </w:t>
            </w:r>
            <w:r>
              <w:rPr>
                <w:rStyle w:val="Style_5_ch"/>
                <w:sz w:val="24"/>
              </w:rPr>
              <w:t>«</w:t>
            </w:r>
            <w:r>
              <w:rPr>
                <w:rStyle w:val="Style_5_ch"/>
                <w:sz w:val="24"/>
              </w:rPr>
              <w:t>Благоустройство</w:t>
            </w:r>
            <w:r>
              <w:rPr>
                <w:rStyle w:val="Style_5_ch"/>
                <w:sz w:val="24"/>
              </w:rPr>
              <w:t xml:space="preserve"> территории</w:t>
            </w:r>
            <w:r>
              <w:rPr>
                <w:rStyle w:val="Style_5_ch"/>
                <w:sz w:val="24"/>
              </w:rPr>
              <w:t>»</w:t>
            </w:r>
          </w:p>
          <w:p w14:paraId="27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Уровень обеспечения элементами благоустройства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F010000"/>
    <w:sectPr>
      <w:footerReference r:id="rId5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"/>
    <w:basedOn w:val="Style_5"/>
    <w:link w:val="Style_16_ch"/>
    <w:pPr>
      <w:ind w:firstLine="1134" w:left="0"/>
      <w:jc w:val="both"/>
    </w:pPr>
    <w:rPr>
      <w:sz w:val="28"/>
    </w:rPr>
  </w:style>
  <w:style w:styleId="Style_16_ch" w:type="character">
    <w:name w:val="Body Text Indent"/>
    <w:basedOn w:val="Style_5_ch"/>
    <w:link w:val="Style_16"/>
    <w:rPr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8_ch" w:type="character">
    <w:name w:val="heading 3"/>
    <w:basedOn w:val="Style_5_ch"/>
    <w:link w:val="Style_18"/>
    <w:rPr>
      <w:b w:val="1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9" w:type="paragraph">
    <w:name w:val="Normal (Web)"/>
    <w:basedOn w:val="Style_5"/>
    <w:link w:val="Style_9_ch"/>
    <w:pPr>
      <w:spacing w:after="119" w:before="280"/>
      <w:ind/>
    </w:pPr>
    <w:rPr>
      <w:sz w:val="24"/>
    </w:rPr>
  </w:style>
  <w:style w:styleId="Style_9_ch" w:type="character">
    <w:name w:val="Normal (Web)"/>
    <w:basedOn w:val="Style_5_ch"/>
    <w:link w:val="Style_9"/>
    <w:rPr>
      <w:sz w:val="24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0" w:type="paragraph">
    <w:name w:val="Body Text"/>
    <w:basedOn w:val="Style_5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5_ch"/>
    <w:link w:val="Style_10"/>
    <w:rPr>
      <w:sz w:val="24"/>
    </w:rPr>
  </w:style>
  <w:style w:styleId="Style_3" w:type="paragraph">
    <w:name w:val="footer"/>
    <w:basedOn w:val="Style_5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5_ch"/>
    <w:link w:val="Style_3"/>
  </w:style>
  <w:style w:styleId="Style_19" w:type="paragraph">
    <w:name w:val="ConsPlusCell"/>
    <w:link w:val="Style_19_ch"/>
    <w:pPr>
      <w:widowControl w:val="0"/>
      <w:ind/>
    </w:pPr>
    <w:rPr>
      <w:sz w:val="22"/>
    </w:rPr>
  </w:style>
  <w:style w:styleId="Style_19_ch" w:type="character">
    <w:name w:val="ConsPlusCell"/>
    <w:link w:val="Style_19"/>
    <w:rPr>
      <w:sz w:val="22"/>
    </w:rPr>
  </w:style>
  <w:style w:styleId="Style_20" w:type="paragraph">
    <w:name w:val="Body Text 2"/>
    <w:basedOn w:val="Style_5"/>
    <w:link w:val="Style_20_ch"/>
    <w:pPr>
      <w:spacing w:after="120" w:line="480" w:lineRule="auto"/>
      <w:ind/>
    </w:pPr>
  </w:style>
  <w:style w:styleId="Style_20_ch" w:type="character">
    <w:name w:val="Body Text 2"/>
    <w:basedOn w:val="Style_5_ch"/>
    <w:link w:val="Style_20"/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4_ch" w:type="character">
    <w:name w:val="heading 1"/>
    <w:basedOn w:val="Style_5_ch"/>
    <w:link w:val="Style_4"/>
    <w:rPr>
      <w:b w:val="1"/>
      <w:sz w:val="28"/>
    </w:rPr>
  </w:style>
  <w:style w:styleId="Style_24" w:type="paragraph">
    <w:name w:val="ConsTitle"/>
    <w:link w:val="Style_24_ch"/>
    <w:pPr>
      <w:ind w:right="19772"/>
    </w:pPr>
    <w:rPr>
      <w:rFonts w:ascii="Arial" w:hAnsi="Arial"/>
      <w:b w:val="1"/>
      <w:sz w:val="32"/>
    </w:rPr>
  </w:style>
  <w:style w:styleId="Style_24_ch" w:type="character">
    <w:name w:val="ConsTitle"/>
    <w:link w:val="Style_24"/>
    <w:rPr>
      <w:rFonts w:ascii="Arial" w:hAnsi="Arial"/>
      <w:b w:val="1"/>
      <w:sz w:val="32"/>
    </w:rPr>
  </w:style>
  <w:style w:styleId="Style_25" w:type="paragraph">
    <w:name w:val="Hyperlink"/>
    <w:basedOn w:val="Style_17"/>
    <w:link w:val="Style_25_ch"/>
    <w:rPr>
      <w:color w:val="0000FF"/>
      <w:u w:val="single"/>
    </w:rPr>
  </w:style>
  <w:style w:styleId="Style_25_ch" w:type="character">
    <w:name w:val="Hyperlink"/>
    <w:basedOn w:val="Style_17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basedOn w:val="Style_5"/>
    <w:link w:val="Style_3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3_ch" w:type="character">
    <w:name w:val="Subtitle"/>
    <w:basedOn w:val="Style_5_ch"/>
    <w:link w:val="Style_33"/>
    <w:rPr>
      <w:b w:val="1"/>
      <w:sz w:val="26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34" w:type="paragraph">
    <w:name w:val="Title"/>
    <w:basedOn w:val="Style_5"/>
    <w:link w:val="Style_34_ch"/>
    <w:uiPriority w:val="10"/>
    <w:qFormat/>
    <w:pPr>
      <w:ind/>
      <w:jc w:val="center"/>
    </w:pPr>
    <w:rPr>
      <w:sz w:val="28"/>
    </w:rPr>
  </w:style>
  <w:style w:styleId="Style_34_ch" w:type="character">
    <w:name w:val="Title"/>
    <w:basedOn w:val="Style_5_ch"/>
    <w:link w:val="Style_34"/>
    <w:rPr>
      <w:sz w:val="28"/>
    </w:rPr>
  </w:style>
  <w:style w:styleId="Style_35" w:type="paragraph">
    <w:name w:val="heading 4"/>
    <w:next w:val="Style_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Default"/>
    <w:link w:val="Style_37_ch"/>
    <w:rPr>
      <w:color w:val="000000"/>
      <w:sz w:val="24"/>
    </w:rPr>
  </w:style>
  <w:style w:styleId="Style_37_ch" w:type="character">
    <w:name w:val="Default"/>
    <w:link w:val="Style_37"/>
    <w:rPr>
      <w:color w:val="000000"/>
      <w:sz w:val="24"/>
    </w:rPr>
  </w:style>
  <w:style w:styleId="Style_38" w:type="table">
    <w:name w:val="Table Grid"/>
    <w:basedOn w:val="Style_1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2023-03-17T09:53:25Z</dcterms:modified>
</cp:coreProperties>
</file>