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5000000">
      <w:pPr>
        <w:pStyle w:val="Style_3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6000000">
      <w:pPr>
        <w:pStyle w:val="Style_3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7000000">
      <w:pPr>
        <w:pStyle w:val="Style_3"/>
        <w:ind/>
        <w:jc w:val="center"/>
        <w:rPr>
          <w:sz w:val="28"/>
        </w:rPr>
      </w:pPr>
    </w:p>
    <w:p w14:paraId="08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3"/>
        <w:ind/>
        <w:jc w:val="center"/>
      </w:pP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«Развитие транспортной системы» за 2022 год</w:t>
      </w:r>
    </w:p>
    <w:p w14:paraId="0C000000">
      <w:pPr>
        <w:ind w:right="4110"/>
        <w:rPr>
          <w:sz w:val="28"/>
        </w:rPr>
      </w:pPr>
    </w:p>
    <w:p w14:paraId="0D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программы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«Развитие транспортной системы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од, согласно приложению</w:t>
      </w:r>
      <w:r>
        <w:rPr>
          <w:sz w:val="28"/>
        </w:rPr>
        <w:t xml:space="preserve"> к настоящему постановлению.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3000000">
      <w:pPr>
        <w:ind w:firstLine="567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E000000">
      <w:pPr>
        <w:sectPr>
          <w:footerReference r:id="rId3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rPr>
          <w:sz w:val="28"/>
        </w:rPr>
      </w:pPr>
    </w:p>
    <w:p w14:paraId="20000000">
      <w:pPr>
        <w:ind/>
        <w:jc w:val="right"/>
        <w:rPr>
          <w:sz w:val="24"/>
        </w:rPr>
      </w:pPr>
      <w:r>
        <w:rPr>
          <w:sz w:val="24"/>
        </w:rPr>
        <w:t>Приложение к постановлению</w:t>
      </w:r>
    </w:p>
    <w:p w14:paraId="21000000">
      <w:pPr>
        <w:ind w:firstLine="709" w:left="0"/>
        <w:jc w:val="right"/>
        <w:rPr>
          <w:sz w:val="24"/>
        </w:rPr>
      </w:pPr>
      <w:r>
        <w:rPr>
          <w:sz w:val="24"/>
        </w:rPr>
        <w:t>Администрации Кагальницкого сельского поселения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от 27.02.2023 № 23</w:t>
      </w:r>
      <w:r>
        <w:rPr>
          <w:sz w:val="24"/>
        </w:rPr>
        <w:t xml:space="preserve"> </w:t>
      </w:r>
      <w:r>
        <w:rPr>
          <w:sz w:val="24"/>
        </w:rPr>
        <w:t xml:space="preserve"> «Об утверждении отчета о реализации </w:t>
      </w:r>
    </w:p>
    <w:p w14:paraId="23000000">
      <w:pPr>
        <w:pStyle w:val="Style_6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Кагальницкого</w:t>
      </w:r>
    </w:p>
    <w:p w14:paraId="24000000">
      <w:pPr>
        <w:ind/>
        <w:jc w:val="right"/>
        <w:rPr>
          <w:color w:val="000000"/>
          <w:sz w:val="24"/>
        </w:rPr>
      </w:pPr>
      <w:r>
        <w:rPr>
          <w:sz w:val="24"/>
        </w:rPr>
        <w:t>сельского поселения «</w:t>
      </w:r>
      <w:r>
        <w:rPr>
          <w:sz w:val="24"/>
        </w:rPr>
        <w:t>Развитие транспортной системы</w:t>
      </w:r>
      <w:r>
        <w:rPr>
          <w:sz w:val="24"/>
        </w:rPr>
        <w:t>» за 2022 год»</w:t>
      </w:r>
    </w:p>
    <w:p w14:paraId="25000000">
      <w:pPr>
        <w:ind w:firstLine="0" w:left="8505"/>
        <w:jc w:val="center"/>
        <w:rPr>
          <w:sz w:val="28"/>
        </w:rPr>
      </w:pP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9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A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2B000000">
      <w:pPr>
        <w:widowControl w:val="0"/>
        <w:ind/>
        <w:jc w:val="center"/>
        <w:outlineLvl w:val="1"/>
        <w:rPr>
          <w:b w:val="1"/>
          <w:sz w:val="28"/>
        </w:rPr>
      </w:pPr>
    </w:p>
    <w:p w14:paraId="2C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D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Развитие транспортной системы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E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</w:t>
      </w:r>
    </w:p>
    <w:p w14:paraId="2F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30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22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31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р</w:t>
      </w:r>
      <w:r>
        <w:rPr>
          <w:sz w:val="28"/>
        </w:rPr>
        <w:t>азвити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транспортной инфраструктуры в сельском поселении и п</w:t>
      </w:r>
      <w:r>
        <w:rPr>
          <w:sz w:val="28"/>
        </w:rPr>
        <w:t>овышени</w:t>
      </w:r>
      <w:r>
        <w:rPr>
          <w:sz w:val="28"/>
        </w:rPr>
        <w:t>я</w:t>
      </w:r>
      <w:r>
        <w:rPr>
          <w:sz w:val="28"/>
        </w:rPr>
        <w:t xml:space="preserve"> безопасности дорожного движения на территории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Развитие транспортной системы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 обеспечение безопасности дорожного движения на автомобильных дорогах общего пользования  и улично-дорожной сети населенных пунктов в </w:t>
      </w:r>
      <w:r>
        <w:rPr>
          <w:sz w:val="28"/>
        </w:rPr>
        <w:t>Кагальницком</w:t>
      </w:r>
      <w:r>
        <w:rPr>
          <w:sz w:val="28"/>
        </w:rPr>
        <w:t xml:space="preserve"> сельском поселении, содержание автомобильных дорог в зимний период.</w:t>
      </w:r>
    </w:p>
    <w:p w14:paraId="33000000">
      <w:pPr>
        <w:spacing w:line="276" w:lineRule="auto"/>
        <w:ind w:firstLine="0" w:left="720"/>
        <w:jc w:val="center"/>
        <w:rPr>
          <w:sz w:val="28"/>
        </w:rPr>
      </w:pPr>
    </w:p>
    <w:p w14:paraId="34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5000000">
      <w:pPr>
        <w:spacing w:line="276" w:lineRule="auto"/>
        <w:ind w:firstLine="720" w:left="0"/>
        <w:jc w:val="both"/>
        <w:rPr>
          <w:sz w:val="28"/>
        </w:rPr>
      </w:pPr>
    </w:p>
    <w:p w14:paraId="36000000">
      <w:pPr>
        <w:spacing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Муниципальной программой «Развитие транспортной системы» предусмотрено выполнение 2 подпрограмм, в рамках которых выполняется 2 основных мероприятия: </w:t>
      </w:r>
      <w:r>
        <w:rPr>
          <w:sz w:val="28"/>
        </w:rPr>
        <w:t>основн</w:t>
      </w:r>
      <w:r>
        <w:rPr>
          <w:sz w:val="28"/>
        </w:rPr>
        <w:t>ое</w:t>
      </w:r>
      <w:r>
        <w:rPr>
          <w:sz w:val="28"/>
        </w:rPr>
        <w:t xml:space="preserve"> м</w:t>
      </w:r>
      <w:r>
        <w:rPr>
          <w:rStyle w:val="Style_8_ch"/>
          <w:sz w:val="28"/>
        </w:rPr>
        <w:t xml:space="preserve">ероприятие </w:t>
      </w:r>
      <w:r>
        <w:rPr>
          <w:rStyle w:val="Style_8_ch"/>
          <w:sz w:val="28"/>
        </w:rPr>
        <w:t>1.</w:t>
      </w:r>
      <w:r>
        <w:rPr>
          <w:rStyle w:val="Style_8_ch"/>
          <w:sz w:val="28"/>
        </w:rPr>
        <w:t>1</w:t>
      </w:r>
      <w:r>
        <w:rPr>
          <w:rStyle w:val="Style_8_ch"/>
          <w:sz w:val="28"/>
        </w:rPr>
        <w:t xml:space="preserve"> «</w:t>
      </w:r>
      <w:r>
        <w:rPr>
          <w:rStyle w:val="Style_8_ch"/>
          <w:sz w:val="28"/>
        </w:rPr>
        <w:t xml:space="preserve">Расходы на </w:t>
      </w:r>
      <w:r>
        <w:rPr>
          <w:rStyle w:val="Style_8_ch"/>
          <w:sz w:val="28"/>
        </w:rPr>
        <w:t>ремонт и содержание автодорог общего пользования местного значения</w:t>
      </w:r>
      <w:r>
        <w:rPr>
          <w:rStyle w:val="Style_8_ch"/>
          <w:sz w:val="28"/>
        </w:rPr>
        <w:t xml:space="preserve">», </w:t>
      </w:r>
      <w:r>
        <w:rPr>
          <w:sz w:val="28"/>
        </w:rPr>
        <w:t xml:space="preserve">основное мероприятие </w:t>
      </w:r>
      <w:r>
        <w:rPr>
          <w:sz w:val="28"/>
        </w:rPr>
        <w:t>2.1 «Мероприятия по обеспечению безопасности дорожного движения». Степень реализации основных мероприятий выполнена в полном объеме:</w:t>
      </w:r>
    </w:p>
    <w:p w14:paraId="37000000">
      <w:pPr>
        <w:spacing w:line="276" w:lineRule="auto"/>
        <w:ind w:firstLine="708" w:left="0"/>
        <w:jc w:val="center"/>
        <w:rPr>
          <w:sz w:val="28"/>
        </w:rPr>
      </w:pPr>
      <w:r>
        <w:rPr>
          <w:sz w:val="28"/>
        </w:rPr>
        <w:t>СРом=2/2=1</w:t>
      </w:r>
    </w:p>
    <w:p w14:paraId="38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9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Достижение контрольных событий муниципальной программой «Развитие транспортной системы» не предусмотрено.</w:t>
      </w:r>
    </w:p>
    <w:p w14:paraId="3A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B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C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D000000">
      <w:pPr>
        <w:pStyle w:val="Style_9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E000000">
      <w:pPr>
        <w:pStyle w:val="Style_9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</w:t>
      </w:r>
      <w:r>
        <w:rPr>
          <w:sz w:val="28"/>
        </w:rPr>
        <w:t>фактором, повлиявшим на ход реализации муниципальной программы, является окончание действия соглашения о передаче полномочий в обла</w:t>
      </w:r>
      <w:r>
        <w:rPr>
          <w:rStyle w:val="Style_9_ch"/>
          <w:sz w:val="28"/>
        </w:rPr>
        <w:t xml:space="preserve">сти </w:t>
      </w:r>
      <w:r>
        <w:rPr>
          <w:rStyle w:val="Style_9_ch"/>
          <w:sz w:val="28"/>
        </w:rPr>
        <w:t>дорожной деятельности от Администрации Азовского района Администрации Кагальницкого сельского поселения. Реализация муниципальной программы окончена в марте 2022 года.</w:t>
      </w:r>
    </w:p>
    <w:p w14:paraId="3F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40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41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42000000">
      <w:pPr>
        <w:spacing w:line="276" w:lineRule="auto"/>
        <w:ind w:firstLine="709" w:left="0"/>
        <w:jc w:val="both"/>
        <w:rPr>
          <w:b w:val="1"/>
          <w:sz w:val="28"/>
        </w:rPr>
      </w:pPr>
    </w:p>
    <w:p w14:paraId="4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составил 450,0</w:t>
      </w:r>
      <w:r>
        <w:rPr>
          <w:sz w:val="28"/>
        </w:rPr>
        <w:t xml:space="preserve"> тыс. рублей</w:t>
      </w:r>
      <w:r>
        <w:rPr>
          <w:sz w:val="28"/>
        </w:rPr>
        <w:t xml:space="preserve"> </w:t>
      </w:r>
      <w:r>
        <w:rPr>
          <w:sz w:val="28"/>
        </w:rPr>
        <w:t>в том числе по источникам финансирования:</w:t>
      </w:r>
    </w:p>
    <w:p w14:paraId="4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5000000">
      <w:pPr>
        <w:widowControl w:val="0"/>
        <w:spacing w:line="276" w:lineRule="auto"/>
        <w:ind w:firstLine="709" w:left="0"/>
        <w:rPr>
          <w:i w:val="1"/>
          <w:sz w:val="18"/>
        </w:rPr>
      </w:pPr>
      <w:r>
        <w:rPr>
          <w:sz w:val="28"/>
        </w:rPr>
        <w:t xml:space="preserve">областной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                   </w:t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районный бюджет 45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местный бюджет 0,0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  <w:r>
        <w:rPr>
          <w:i w:val="1"/>
          <w:sz w:val="18"/>
        </w:rPr>
        <w:t xml:space="preserve">                                                               </w:t>
      </w:r>
    </w:p>
    <w:p w14:paraId="4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450,0</w:t>
      </w:r>
      <w:r>
        <w:rPr>
          <w:sz w:val="28"/>
        </w:rPr>
        <w:t xml:space="preserve"> </w:t>
      </w:r>
      <w:r>
        <w:rPr>
          <w:sz w:val="28"/>
        </w:rPr>
        <w:t>тыс. рублей, в том числе по источникам финансирования:</w:t>
      </w:r>
    </w:p>
    <w:p w14:paraId="4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B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областной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</w:t>
      </w:r>
    </w:p>
    <w:p w14:paraId="4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районный бюджет 45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D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местный бюджет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4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F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0,</w:t>
      </w:r>
      <w:r>
        <w:rPr>
          <w:sz w:val="28"/>
        </w:rPr>
        <w:t>0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5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всех источников финансирования:</w:t>
      </w:r>
    </w:p>
    <w:p w14:paraId="51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ССуз=450,0/450,0=1,</w:t>
      </w:r>
    </w:p>
    <w:p w14:paraId="52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средств месмтного бюджета:</w:t>
      </w:r>
    </w:p>
    <w:p w14:paraId="53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Эис=1/1=1,</w:t>
      </w:r>
    </w:p>
    <w:p w14:paraId="5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5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56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57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58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59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5A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</w:p>
    <w:p w14:paraId="5B000000">
      <w:pPr>
        <w:pStyle w:val="Style_10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 предусмотрено 3</w:t>
      </w:r>
      <w:r>
        <w:rPr>
          <w:sz w:val="28"/>
        </w:rPr>
        <w:t xml:space="preserve"> показател</w:t>
      </w:r>
      <w:r>
        <w:rPr>
          <w:rStyle w:val="Style_10_ch"/>
          <w:sz w:val="28"/>
        </w:rPr>
        <w:t>я</w:t>
      </w:r>
      <w:r>
        <w:rPr>
          <w:rStyle w:val="Style_10_ch"/>
          <w:sz w:val="28"/>
        </w:rPr>
        <w:t xml:space="preserve">, </w:t>
      </w:r>
      <w:r>
        <w:rPr>
          <w:rStyle w:val="Style_10_ch"/>
          <w:sz w:val="28"/>
        </w:rPr>
        <w:t xml:space="preserve">по </w:t>
      </w:r>
      <w:r>
        <w:rPr>
          <w:rStyle w:val="Style_10_ch"/>
          <w:sz w:val="28"/>
        </w:rPr>
        <w:t>2</w:t>
      </w:r>
      <w:r>
        <w:rPr>
          <w:rStyle w:val="Style_10_ch"/>
          <w:sz w:val="28"/>
        </w:rPr>
        <w:t xml:space="preserve"> из которых</w:t>
      </w:r>
      <w:r>
        <w:rPr>
          <w:rStyle w:val="Style_10_ch"/>
          <w:sz w:val="28"/>
        </w:rPr>
        <w:t xml:space="preserve"> </w:t>
      </w:r>
      <w:r>
        <w:rPr>
          <w:rStyle w:val="Style_10_ch"/>
          <w:sz w:val="28"/>
        </w:rPr>
        <w:t>фактические значения соответствуют плановым</w:t>
      </w:r>
      <w:r>
        <w:rPr>
          <w:rStyle w:val="Style_10_ch"/>
          <w:sz w:val="28"/>
        </w:rPr>
        <w:t>.</w:t>
      </w:r>
    </w:p>
    <w:p w14:paraId="5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 составляет:</w:t>
      </w:r>
    </w:p>
    <w:p w14:paraId="5D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Со=2/3=0,66,</w:t>
      </w:r>
    </w:p>
    <w:p w14:paraId="5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5F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60000000">
      <w:pPr>
        <w:pStyle w:val="Style_9"/>
        <w:spacing w:after="0" w:before="0" w:line="276" w:lineRule="auto"/>
        <w:ind/>
        <w:rPr>
          <w:sz w:val="28"/>
        </w:rPr>
      </w:pPr>
    </w:p>
    <w:p w14:paraId="61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62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8_ch"/>
          <w:rFonts w:ascii="Times New Roman" w:hAnsi="Times New Roman"/>
          <w:sz w:val="28"/>
        </w:rPr>
        <w:t xml:space="preserve"> с</w:t>
      </w:r>
      <w:r>
        <w:rPr>
          <w:rStyle w:val="Style_8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63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УРпр=1*0,5+1*0,3+0,66*0,2=0,93</w:t>
      </w:r>
    </w:p>
    <w:p w14:paraId="64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соответствует удовлетворительному уровню реализации муниципальной программы</w:t>
      </w:r>
      <w:r>
        <w:rPr>
          <w:i w:val="1"/>
          <w:sz w:val="18"/>
        </w:rPr>
        <w:t xml:space="preserve">.      </w:t>
      </w:r>
    </w:p>
    <w:p w14:paraId="65000000">
      <w:pPr>
        <w:pStyle w:val="Style_9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</w:t>
      </w:r>
    </w:p>
    <w:p w14:paraId="66000000">
      <w:pPr>
        <w:pStyle w:val="Style_10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67000000">
      <w:pPr>
        <w:ind w:firstLine="567" w:left="0"/>
        <w:jc w:val="both"/>
        <w:rPr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высокой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Дальнейшая реализация программы приостановлена, в связи с отсутствием полномочий по данному направлению.</w:t>
      </w:r>
    </w:p>
    <w:p w14:paraId="68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69000000">
      <w:pPr>
        <w:sectPr>
          <w:footerReference r:id="rId2" w:type="default"/>
          <w:pgSz w:h="16838" w:orient="portrait" w:w="11906"/>
          <w:pgMar w:bottom="851" w:footer="709" w:gutter="0" w:header="709" w:left="1276" w:right="707" w:top="426"/>
        </w:sectPr>
      </w:pPr>
    </w:p>
    <w:p w14:paraId="6A000000">
      <w:pPr>
        <w:ind/>
        <w:jc w:val="right"/>
        <w:rPr>
          <w:color w:val="000000"/>
          <w:sz w:val="24"/>
        </w:rPr>
      </w:pPr>
    </w:p>
    <w:p w14:paraId="6B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C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D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E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транспортной системы</w:t>
      </w:r>
      <w:r>
        <w:rPr>
          <w:rFonts w:ascii="Times New Roman" w:hAnsi="Times New Roman"/>
          <w:sz w:val="28"/>
        </w:rPr>
        <w:t xml:space="preserve">» за 2022 год   </w:t>
      </w:r>
    </w:p>
    <w:p w14:paraId="6F000000">
      <w:pPr>
        <w:ind w:firstLine="0" w:left="-708"/>
        <w:jc w:val="right"/>
        <w:rPr>
          <w:sz w:val="24"/>
        </w:rPr>
      </w:pPr>
    </w:p>
    <w:tbl>
      <w:tblPr>
        <w:tblStyle w:val="Style_1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3016"/>
        <w:gridCol w:w="1956"/>
        <w:gridCol w:w="1118"/>
        <w:gridCol w:w="979"/>
        <w:gridCol w:w="838"/>
        <w:gridCol w:w="2795"/>
        <w:gridCol w:w="2236"/>
        <w:gridCol w:w="1677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0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6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6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транспортной системы в сельском поселении»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A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сети в полном объеме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доля протяженности автомобильных дорог, отвечающих нормативным требованиям увеличена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Мероприятия по обеспечению безопасности дорожного движения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95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дорожно-транспортных происшествий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дорожно-транспортных происшествий сократилось</w:t>
            </w: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9C000000">
      <w:pPr>
        <w:rPr>
          <w:sz w:val="26"/>
        </w:rPr>
      </w:pPr>
    </w:p>
    <w:p w14:paraId="9D000000">
      <w:pPr>
        <w:ind w:firstLine="0" w:left="8505"/>
        <w:jc w:val="right"/>
        <w:rPr>
          <w:sz w:val="24"/>
        </w:rPr>
      </w:pPr>
    </w:p>
    <w:p w14:paraId="9E000000">
      <w:pPr>
        <w:ind w:firstLine="0" w:left="8505"/>
        <w:jc w:val="right"/>
        <w:rPr>
          <w:sz w:val="24"/>
        </w:rPr>
      </w:pPr>
    </w:p>
    <w:p w14:paraId="9F000000">
      <w:pPr>
        <w:ind w:firstLine="0" w:left="8505"/>
        <w:jc w:val="right"/>
        <w:rPr>
          <w:sz w:val="24"/>
        </w:rPr>
      </w:pPr>
    </w:p>
    <w:p w14:paraId="A0000000">
      <w:pPr>
        <w:ind w:firstLine="0" w:left="8505"/>
        <w:jc w:val="right"/>
        <w:rPr>
          <w:sz w:val="24"/>
        </w:rPr>
      </w:pPr>
    </w:p>
    <w:p w14:paraId="A1000000">
      <w:pPr>
        <w:ind w:firstLine="0" w:left="8505"/>
        <w:jc w:val="right"/>
        <w:rPr>
          <w:sz w:val="24"/>
        </w:rPr>
      </w:pPr>
    </w:p>
    <w:p w14:paraId="A2000000">
      <w:pPr>
        <w:ind w:firstLine="0" w:left="8505"/>
        <w:jc w:val="right"/>
        <w:rPr>
          <w:sz w:val="24"/>
        </w:rPr>
      </w:pPr>
    </w:p>
    <w:p w14:paraId="A3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A4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A5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A6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A7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транспортной системы</w:t>
      </w:r>
      <w:r>
        <w:rPr>
          <w:rFonts w:ascii="Times New Roman" w:hAnsi="Times New Roman"/>
          <w:sz w:val="28"/>
        </w:rPr>
        <w:t xml:space="preserve">» за 2022 год </w:t>
      </w:r>
    </w:p>
    <w:p w14:paraId="A8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1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0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Style_8_ch"/>
                <w:rFonts w:ascii="Times New Roman" w:hAnsi="Times New Roman"/>
                <w:sz w:val="24"/>
              </w:rPr>
              <w:t>«</w:t>
            </w:r>
            <w:r>
              <w:rPr>
                <w:rStyle w:val="Style_8_ch"/>
                <w:rFonts w:ascii="Times New Roman" w:hAnsi="Times New Roman"/>
                <w:sz w:val="24"/>
              </w:rPr>
              <w:t>Развитие транспортной системы</w:t>
            </w:r>
            <w:r>
              <w:rPr>
                <w:rStyle w:val="Style_8_ch"/>
                <w:rFonts w:ascii="Times New Roman" w:hAnsi="Times New Roman"/>
                <w:sz w:val="24"/>
              </w:rPr>
              <w:t>»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F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D0000000">
      <w:pPr>
        <w:widowControl w:val="0"/>
        <w:ind w:firstLine="540" w:left="0"/>
        <w:jc w:val="right"/>
        <w:rPr>
          <w:sz w:val="24"/>
        </w:rPr>
      </w:pPr>
    </w:p>
    <w:p w14:paraId="D1000000">
      <w:pPr>
        <w:widowControl w:val="0"/>
        <w:ind/>
        <w:jc w:val="right"/>
        <w:rPr>
          <w:rFonts w:ascii="Times New Roman" w:hAnsi="Times New Roman"/>
          <w:sz w:val="28"/>
        </w:rPr>
      </w:pPr>
      <w:bookmarkStart w:id="1" w:name="Par1422"/>
      <w:bookmarkEnd w:id="1"/>
    </w:p>
    <w:p w14:paraId="D2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3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4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5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6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7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8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9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A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B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C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D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E00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DF00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№3</w:t>
      </w:r>
    </w:p>
    <w:p w14:paraId="E000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E1000000">
      <w:pPr>
        <w:widowControl w:val="0"/>
        <w:ind/>
        <w:jc w:val="center"/>
        <w:rPr>
          <w:sz w:val="24"/>
        </w:rPr>
      </w:pPr>
    </w:p>
    <w:p w14:paraId="E2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E3000000">
      <w:pPr>
        <w:widowControl w:val="0"/>
        <w:ind/>
        <w:jc w:val="center"/>
        <w:rPr>
          <w:sz w:val="28"/>
        </w:rPr>
      </w:pPr>
    </w:p>
    <w:tbl>
      <w:tblPr>
        <w:tblStyle w:val="Style_11"/>
        <w:tblInd w:type="dxa" w:w="1597"/>
        <w:tblLayout w:type="fixed"/>
        <w:tblCellMar>
          <w:left w:type="dxa" w:w="75"/>
          <w:right w:type="dxa" w:w="75"/>
        </w:tblCellMar>
      </w:tblPr>
      <w:tblGrid>
        <w:gridCol w:w="710"/>
        <w:gridCol w:w="4147"/>
        <w:gridCol w:w="1362"/>
        <w:gridCol w:w="1770"/>
        <w:gridCol w:w="1497"/>
        <w:gridCol w:w="1211"/>
        <w:gridCol w:w="2561"/>
      </w:tblGrid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41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4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270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1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3258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 программа </w:t>
            </w:r>
            <w:r>
              <w:rPr>
                <w:sz w:val="24"/>
              </w:rPr>
              <w:t>«Развитие транспортной системы»</w:t>
            </w:r>
          </w:p>
        </w:tc>
      </w:tr>
      <w:tr>
        <w:trPr>
          <w:trHeight w:hRule="atLeast" w:val="313"/>
        </w:trPr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rPr>
                <w:sz w:val="24"/>
              </w:rPr>
            </w:pPr>
            <w:r>
              <w:rPr>
                <w:sz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4"/>
              </w:rPr>
              <w:t>вания местного значения;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type="dxa" w:w="14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z w:val="24"/>
              </w:rPr>
              <w:t>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25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1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Тяжесть последствий в результате до</w:t>
            </w:r>
            <w:r>
              <w:rPr>
                <w:color w:val="000000"/>
                <w:sz w:val="24"/>
              </w:rPr>
              <w:t xml:space="preserve">рожно-транспортных происшествий </w:t>
            </w:r>
            <w:r>
              <w:rPr>
                <w:sz w:val="24"/>
              </w:rPr>
              <w:t>(количество погибших на 10 постра</w:t>
            </w:r>
            <w:r>
              <w:rPr>
                <w:sz w:val="24"/>
              </w:rPr>
              <w:t>давших)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type="dxa" w:w="25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1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км.</w:t>
            </w:r>
          </w:p>
        </w:tc>
        <w:tc>
          <w:tcPr>
            <w:tcW w:type="dxa" w:w="177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25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связи с расторжением Соглашения о передаче полномочий Администрацией Азовского района Администрации поселения по осуществлению дорожной деятельности.</w:t>
            </w:r>
          </w:p>
        </w:tc>
      </w:tr>
    </w:tbl>
    <w:p w14:paraId="0B010000">
      <w:pPr>
        <w:widowControl w:val="0"/>
        <w:ind/>
        <w:jc w:val="center"/>
        <w:rPr>
          <w:color w:val="22272F"/>
          <w:sz w:val="23"/>
        </w:rPr>
      </w:pPr>
    </w:p>
    <w:sectPr>
      <w:footerReference r:id="rId1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12" w:type="paragraph">
    <w:name w:val="toc 2"/>
    <w:next w:val="Style_8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 Indent"/>
    <w:basedOn w:val="Style_8"/>
    <w:link w:val="Style_16_ch"/>
    <w:pPr>
      <w:ind w:firstLine="1134" w:left="0"/>
      <w:jc w:val="both"/>
    </w:pPr>
    <w:rPr>
      <w:sz w:val="28"/>
    </w:rPr>
  </w:style>
  <w:style w:styleId="Style_16_ch" w:type="character">
    <w:name w:val="Body Text Indent"/>
    <w:basedOn w:val="Style_8_ch"/>
    <w:link w:val="Style_16"/>
    <w:rPr>
      <w:sz w:val="28"/>
    </w:rPr>
  </w:style>
  <w:style w:styleId="Style_17" w:type="paragraph">
    <w:name w:val="ConsTitle"/>
    <w:link w:val="Style_17_ch"/>
    <w:pPr>
      <w:ind w:right="19772"/>
    </w:pPr>
    <w:rPr>
      <w:rFonts w:ascii="Arial" w:hAnsi="Arial"/>
      <w:b w:val="1"/>
      <w:sz w:val="32"/>
    </w:rPr>
  </w:style>
  <w:style w:styleId="Style_17_ch" w:type="character">
    <w:name w:val="ConsTitle"/>
    <w:link w:val="Style_17"/>
    <w:rPr>
      <w:rFonts w:ascii="Arial" w:hAnsi="Arial"/>
      <w:b w:val="1"/>
      <w:sz w:val="32"/>
    </w:rPr>
  </w:style>
  <w:style w:styleId="Style_18" w:type="paragraph">
    <w:name w:val="heading 3"/>
    <w:basedOn w:val="Style_8"/>
    <w:next w:val="Style_8"/>
    <w:link w:val="Style_18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8_ch" w:type="character">
    <w:name w:val="heading 3"/>
    <w:basedOn w:val="Style_8_ch"/>
    <w:link w:val="Style_18"/>
    <w:rPr>
      <w:b w:val="1"/>
      <w:sz w:val="28"/>
    </w:rPr>
  </w:style>
  <w:style w:styleId="Style_9" w:type="paragraph">
    <w:name w:val="Normal (Web)"/>
    <w:basedOn w:val="Style_8"/>
    <w:link w:val="Style_9_ch"/>
    <w:pPr>
      <w:spacing w:after="119" w:before="280"/>
      <w:ind/>
    </w:pPr>
    <w:rPr>
      <w:sz w:val="24"/>
    </w:rPr>
  </w:style>
  <w:style w:styleId="Style_9_ch" w:type="character">
    <w:name w:val="Normal (Web)"/>
    <w:basedOn w:val="Style_8_ch"/>
    <w:link w:val="Style_9"/>
    <w:rPr>
      <w:sz w:val="24"/>
    </w:rPr>
  </w:style>
  <w:style w:styleId="Style_6" w:type="paragraph">
    <w:name w:val="ConsNonformat"/>
    <w:link w:val="Style_6_ch"/>
    <w:pPr>
      <w:widowControl w:val="0"/>
      <w:ind w:right="19772"/>
    </w:pPr>
    <w:rPr>
      <w:rFonts w:ascii="Courier New" w:hAnsi="Courier New"/>
      <w:sz w:val="22"/>
    </w:rPr>
  </w:style>
  <w:style w:styleId="Style_6_ch" w:type="character">
    <w:name w:val="ConsNonformat"/>
    <w:link w:val="Style_6"/>
    <w:rPr>
      <w:rFonts w:ascii="Courier New" w:hAnsi="Courier New"/>
      <w:sz w:val="22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0" w:type="paragraph">
    <w:name w:val="Body Text"/>
    <w:basedOn w:val="Style_8"/>
    <w:link w:val="Style_10_ch"/>
    <w:pPr>
      <w:spacing w:after="120"/>
      <w:ind/>
    </w:pPr>
    <w:rPr>
      <w:sz w:val="24"/>
    </w:rPr>
  </w:style>
  <w:style w:styleId="Style_10_ch" w:type="character">
    <w:name w:val="Body Text"/>
    <w:basedOn w:val="Style_8_ch"/>
    <w:link w:val="Style_10"/>
    <w:rPr>
      <w:sz w:val="24"/>
    </w:rPr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rPr>
      <w:sz w:val="22"/>
    </w:rPr>
  </w:style>
  <w:style w:styleId="Style_22_ch" w:type="character">
    <w:name w:val="No Spacing"/>
    <w:link w:val="Style_22"/>
    <w:rPr>
      <w:sz w:val="22"/>
    </w:rPr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8_ch"/>
    <w:link w:val="Style_3"/>
    <w:rPr>
      <w:b w:val="1"/>
      <w:sz w:val="28"/>
    </w:rPr>
  </w:style>
  <w:style w:styleId="Style_25" w:type="paragraph">
    <w:name w:val="Hyperlink"/>
    <w:basedOn w:val="Style_20"/>
    <w:link w:val="Style_25_ch"/>
    <w:rPr>
      <w:color w:val="0000FF"/>
      <w:u w:val="single"/>
    </w:rPr>
  </w:style>
  <w:style w:styleId="Style_25_ch" w:type="character">
    <w:name w:val="Hyperlink"/>
    <w:basedOn w:val="Style_20_ch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0" w:type="paragraph">
    <w:name w:val="ConsPlusCell"/>
    <w:link w:val="Style_30_ch"/>
    <w:pPr>
      <w:widowControl w:val="0"/>
      <w:ind/>
    </w:pPr>
    <w:rPr>
      <w:sz w:val="22"/>
    </w:rPr>
  </w:style>
  <w:style w:styleId="Style_30_ch" w:type="character">
    <w:name w:val="ConsPlusCell"/>
    <w:link w:val="Style_30"/>
    <w:rPr>
      <w:sz w:val="22"/>
    </w:rPr>
  </w:style>
  <w:style w:styleId="Style_31" w:type="paragraph">
    <w:name w:val="Default"/>
    <w:link w:val="Style_31_ch"/>
    <w:rPr>
      <w:color w:val="000000"/>
      <w:sz w:val="24"/>
    </w:rPr>
  </w:style>
  <w:style w:styleId="Style_31_ch" w:type="character">
    <w:name w:val="Default"/>
    <w:link w:val="Style_31"/>
    <w:rPr>
      <w:color w:val="000000"/>
      <w:sz w:val="24"/>
    </w:rPr>
  </w:style>
  <w:style w:styleId="Style_32" w:type="paragraph">
    <w:name w:val="Body Text 2"/>
    <w:basedOn w:val="Style_8"/>
    <w:link w:val="Style_32_ch"/>
    <w:pPr>
      <w:spacing w:after="120" w:line="480" w:lineRule="auto"/>
      <w:ind/>
    </w:pPr>
  </w:style>
  <w:style w:styleId="Style_32_ch" w:type="character">
    <w:name w:val="Body Text 2"/>
    <w:basedOn w:val="Style_8_ch"/>
    <w:link w:val="Style_32"/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Balloon Text"/>
    <w:basedOn w:val="Style_8"/>
    <w:link w:val="Style_35_ch"/>
    <w:rPr>
      <w:rFonts w:ascii="Tahoma" w:hAnsi="Tahoma"/>
      <w:sz w:val="16"/>
    </w:rPr>
  </w:style>
  <w:style w:styleId="Style_35_ch" w:type="character">
    <w:name w:val="Balloon Text"/>
    <w:basedOn w:val="Style_8_ch"/>
    <w:link w:val="Style_35"/>
    <w:rPr>
      <w:rFonts w:ascii="Tahoma" w:hAnsi="Tahoma"/>
      <w:sz w:val="16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36" w:type="paragraph">
    <w:name w:val="Title"/>
    <w:basedOn w:val="Style_8"/>
    <w:link w:val="Style_36_ch"/>
    <w:uiPriority w:val="10"/>
    <w:qFormat/>
    <w:pPr>
      <w:ind/>
      <w:jc w:val="center"/>
    </w:pPr>
    <w:rPr>
      <w:sz w:val="28"/>
    </w:rPr>
  </w:style>
  <w:style w:styleId="Style_36_ch" w:type="character">
    <w:name w:val="Title"/>
    <w:basedOn w:val="Style_8_ch"/>
    <w:link w:val="Style_36"/>
    <w:rPr>
      <w:sz w:val="28"/>
    </w:rPr>
  </w:style>
  <w:style w:styleId="Style_37" w:type="paragraph">
    <w:name w:val="heading 4"/>
    <w:next w:val="Style_8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8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table">
    <w:name w:val="Table Grid"/>
    <w:basedOn w:val="Style_1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2023-03-17T10:53:03Z</dcterms:modified>
</cp:coreProperties>
</file>