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3000000">
      <w:pPr>
        <w:pStyle w:val="Style_3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4000000">
      <w:pPr>
        <w:pStyle w:val="Style_3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5000000">
      <w:pPr>
        <w:pStyle w:val="Style_3"/>
        <w:ind/>
        <w:jc w:val="center"/>
        <w:rPr>
          <w:sz w:val="28"/>
        </w:rPr>
      </w:pPr>
    </w:p>
    <w:p w14:paraId="06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3"/>
        <w:ind/>
        <w:jc w:val="center"/>
      </w:pP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9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за 2022 год</w:t>
      </w:r>
    </w:p>
    <w:p w14:paraId="0A000000">
      <w:pPr>
        <w:ind w:right="4110"/>
        <w:rPr>
          <w:sz w:val="28"/>
        </w:rPr>
      </w:pP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</w:t>
      </w:r>
      <w:r>
        <w:rPr>
          <w:sz w:val="28"/>
        </w:rPr>
        <w:t xml:space="preserve">   </w:t>
      </w:r>
      <w:r>
        <w:rPr>
          <w:sz w:val="28"/>
        </w:rPr>
        <w:t xml:space="preserve">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0C000000">
      <w:pPr>
        <w:ind/>
        <w:jc w:val="both"/>
        <w:rPr>
          <w:sz w:val="28"/>
        </w:rPr>
      </w:pPr>
    </w:p>
    <w:p w14:paraId="0D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, </w:t>
      </w:r>
      <w:r>
        <w:rPr>
          <w:sz w:val="28"/>
        </w:rPr>
        <w:t>согласно приложению к настоящему постановлению.</w:t>
      </w:r>
      <w:r>
        <w:rPr>
          <w:sz w:val="28"/>
        </w:rPr>
        <w:t xml:space="preserve"> 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0000000">
      <w:pPr>
        <w:ind w:firstLine="567" w:left="0"/>
        <w:jc w:val="both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 А</w:t>
      </w:r>
      <w:r>
        <w:rPr>
          <w:sz w:val="28"/>
        </w:rPr>
        <w:t>дминистрации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4000000">
      <w:pPr>
        <w:tabs>
          <w:tab w:leader="none" w:pos="1000" w:val="left"/>
        </w:tabs>
        <w:ind/>
        <w:jc w:val="both"/>
        <w:rPr>
          <w:sz w:val="24"/>
        </w:rPr>
      </w:pPr>
    </w:p>
    <w:p w14:paraId="15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6000000">
      <w:pPr>
        <w:ind/>
        <w:jc w:val="right"/>
        <w:rPr>
          <w:color w:val="000000"/>
          <w:sz w:val="24"/>
        </w:rPr>
      </w:pPr>
    </w:p>
    <w:p w14:paraId="17000000">
      <w:pPr>
        <w:ind/>
        <w:jc w:val="right"/>
        <w:rPr>
          <w:color w:val="000000"/>
          <w:sz w:val="24"/>
        </w:rPr>
      </w:pPr>
    </w:p>
    <w:p w14:paraId="18000000">
      <w:pPr>
        <w:ind/>
        <w:jc w:val="right"/>
        <w:rPr>
          <w:color w:val="000000"/>
          <w:sz w:val="24"/>
        </w:rPr>
      </w:pPr>
    </w:p>
    <w:p w14:paraId="19000000">
      <w:pPr>
        <w:ind/>
        <w:jc w:val="right"/>
        <w:rPr>
          <w:color w:val="000000"/>
          <w:sz w:val="24"/>
        </w:rPr>
      </w:pPr>
    </w:p>
    <w:p w14:paraId="1A000000">
      <w:pPr>
        <w:ind/>
        <w:jc w:val="right"/>
        <w:rPr>
          <w:color w:val="000000"/>
          <w:sz w:val="24"/>
        </w:rPr>
      </w:pPr>
    </w:p>
    <w:p w14:paraId="1B000000">
      <w:pPr>
        <w:ind/>
        <w:jc w:val="right"/>
        <w:rPr>
          <w:color w:val="000000"/>
          <w:sz w:val="24"/>
        </w:rPr>
      </w:pPr>
    </w:p>
    <w:p w14:paraId="1C000000">
      <w:pPr>
        <w:ind/>
        <w:jc w:val="right"/>
        <w:rPr>
          <w:color w:val="000000"/>
          <w:sz w:val="24"/>
        </w:rPr>
      </w:pPr>
    </w:p>
    <w:p w14:paraId="1D000000">
      <w:pPr>
        <w:ind/>
        <w:jc w:val="right"/>
        <w:rPr>
          <w:color w:val="000000"/>
          <w:sz w:val="24"/>
        </w:rPr>
      </w:pPr>
    </w:p>
    <w:p w14:paraId="1E000000">
      <w:pPr>
        <w:ind/>
        <w:jc w:val="right"/>
        <w:rPr>
          <w:color w:val="000000"/>
          <w:sz w:val="24"/>
        </w:rPr>
      </w:pPr>
    </w:p>
    <w:p w14:paraId="1F000000">
      <w:pPr>
        <w:ind/>
        <w:jc w:val="right"/>
        <w:rPr>
          <w:sz w:val="24"/>
        </w:rPr>
      </w:pPr>
    </w:p>
    <w:p w14:paraId="20000000">
      <w:pPr>
        <w:ind/>
        <w:jc w:val="right"/>
        <w:rPr>
          <w:sz w:val="24"/>
        </w:r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14:paraId="22000000">
      <w:pPr>
        <w:ind w:firstLine="709" w:left="0"/>
        <w:jc w:val="right"/>
        <w:rPr>
          <w:sz w:val="24"/>
        </w:rPr>
      </w:pPr>
      <w:r>
        <w:rPr>
          <w:sz w:val="24"/>
        </w:rPr>
        <w:t>Администрации Кагальницкого сельского поселения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от 27.02.2023 № </w:t>
      </w:r>
      <w:r>
        <w:rPr>
          <w:sz w:val="24"/>
        </w:rPr>
        <w:t>22</w:t>
      </w:r>
      <w:r>
        <w:rPr>
          <w:sz w:val="24"/>
        </w:rPr>
        <w:t xml:space="preserve"> «Об утверждении отчета о реализации </w:t>
      </w:r>
    </w:p>
    <w:p w14:paraId="24000000">
      <w:pPr>
        <w:pStyle w:val="Style_6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Обеспечение общественного порядка</w:t>
      </w:r>
    </w:p>
    <w:p w14:paraId="26000000">
      <w:pPr>
        <w:ind/>
        <w:jc w:val="right"/>
        <w:rPr>
          <w:color w:val="000000"/>
          <w:sz w:val="24"/>
        </w:rPr>
      </w:pPr>
      <w:r>
        <w:rPr>
          <w:sz w:val="24"/>
        </w:rPr>
        <w:t xml:space="preserve"> и противодействие преступности </w:t>
      </w:r>
      <w:r>
        <w:rPr>
          <w:sz w:val="24"/>
        </w:rPr>
        <w:t>» за 2022 год»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B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C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2D000000">
      <w:pPr>
        <w:widowControl w:val="0"/>
        <w:ind/>
        <w:jc w:val="center"/>
        <w:outlineLvl w:val="1"/>
        <w:rPr>
          <w:b w:val="1"/>
          <w:sz w:val="28"/>
        </w:rPr>
      </w:pPr>
    </w:p>
    <w:p w14:paraId="2E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F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30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</w:p>
    <w:p w14:paraId="31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32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1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33000000">
      <w:pPr>
        <w:pStyle w:val="Style_8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 xml:space="preserve">повышения уровня </w:t>
      </w:r>
      <w:r>
        <w:rPr>
          <w:sz w:val="28"/>
        </w:rPr>
        <w:t>защищенности жизни, здоровья, прав и свобод жителей, законных интересов общества и государства от преступных и иных противоправных посягательств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от 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>.10.2018 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</w:t>
      </w:r>
      <w:r>
        <w:rPr>
          <w:sz w:val="28"/>
        </w:rPr>
        <w:t xml:space="preserve">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ре</w:t>
      </w:r>
      <w:r>
        <w:rPr>
          <w:sz w:val="28"/>
        </w:rPr>
        <w:t>ализован комплекс мероприятий, результатом которых является</w:t>
      </w:r>
      <w:r>
        <w:rPr>
          <w:sz w:val="28"/>
        </w:rPr>
        <w:t>:</w:t>
      </w:r>
    </w:p>
    <w:p w14:paraId="34000000">
      <w:pPr>
        <w:pStyle w:val="Style_9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противодействии экстремизму и терроризму на информационных стендах и на сайте Кагальницкого сельского поселения,</w:t>
      </w:r>
    </w:p>
    <w:p w14:paraId="35000000">
      <w:pPr>
        <w:pStyle w:val="Style_9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рейдов, патрулирования добровольными народными дружинами совместно с представителями органов МВД,</w:t>
      </w:r>
    </w:p>
    <w:p w14:paraId="36000000">
      <w:pPr>
        <w:pStyle w:val="Style_9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нормативно-правовых актов Администрации Кагальницкого сельского поселения,</w:t>
      </w:r>
    </w:p>
    <w:p w14:paraId="37000000">
      <w:pPr>
        <w:pStyle w:val="Style_9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антикоррупционной экспертизы </w:t>
      </w:r>
      <w:r>
        <w:rPr>
          <w:rFonts w:ascii="Times New Roman" w:hAnsi="Times New Roman"/>
          <w:sz w:val="28"/>
        </w:rPr>
        <w:t>нормативно-правовых актов Администрации Кагальницкого сельского поселения,</w:t>
      </w:r>
    </w:p>
    <w:p w14:paraId="38000000">
      <w:pPr>
        <w:pStyle w:val="Style_9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мероприятий, направленных на укрепление института семьи, восстановления и сохранения традиций семейных отношений, формирования здорового образа жизни,</w:t>
      </w:r>
    </w:p>
    <w:p w14:paraId="39000000">
      <w:pPr>
        <w:pStyle w:val="Style_9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утверждение</w:t>
      </w:r>
      <w:r>
        <w:rPr>
          <w:rStyle w:val="Style_9_ch"/>
          <w:rFonts w:ascii="Times New Roman" w:hAnsi="Times New Roman"/>
          <w:sz w:val="28"/>
        </w:rPr>
        <w:t xml:space="preserve"> э</w:t>
      </w:r>
      <w:r>
        <w:rPr>
          <w:rStyle w:val="Style_9_ch"/>
          <w:rFonts w:ascii="Times New Roman" w:hAnsi="Times New Roman"/>
          <w:sz w:val="28"/>
        </w:rPr>
        <w:t xml:space="preserve">тноконфессионального паспорта </w:t>
      </w:r>
      <w:r>
        <w:rPr>
          <w:rStyle w:val="Style_9_ch"/>
          <w:rFonts w:ascii="Times New Roman" w:hAnsi="Times New Roman"/>
          <w:sz w:val="28"/>
        </w:rPr>
        <w:t xml:space="preserve">муниципального образования «Кагальницкое сельское поселение» </w:t>
      </w:r>
      <w:r>
        <w:rPr>
          <w:rStyle w:val="Style_9_ch"/>
          <w:rFonts w:ascii="Times New Roman" w:hAnsi="Times New Roman"/>
          <w:sz w:val="28"/>
        </w:rPr>
        <w:t>Азовского района</w:t>
      </w:r>
    </w:p>
    <w:p w14:paraId="3A000000">
      <w:pPr>
        <w:pStyle w:val="Style_9"/>
        <w:ind w:hanging="11" w:left="0"/>
        <w:jc w:val="both"/>
        <w:rPr>
          <w:rFonts w:ascii="Times New Roman" w:hAnsi="Times New Roman"/>
          <w:sz w:val="28"/>
          <w:shd w:fill="FFD821" w:val="clear"/>
        </w:rPr>
      </w:pPr>
    </w:p>
    <w:p w14:paraId="3B000000">
      <w:pPr>
        <w:spacing w:line="276" w:lineRule="auto"/>
        <w:ind w:firstLine="0" w:left="72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Раздел 2. Результаты реализации основных мероприятий</w:t>
      </w:r>
      <w:r>
        <w:rPr>
          <w:b w:val="1"/>
          <w:color w:val="000000"/>
          <w:sz w:val="28"/>
        </w:rPr>
        <w:t>, а также сведения о достижении контрольных событий муниципальной программы</w:t>
      </w:r>
    </w:p>
    <w:p w14:paraId="3C000000">
      <w:pPr>
        <w:spacing w:line="276" w:lineRule="auto"/>
        <w:ind w:firstLine="720" w:left="0"/>
        <w:jc w:val="both"/>
        <w:rPr>
          <w:sz w:val="28"/>
        </w:rPr>
      </w:pPr>
    </w:p>
    <w:p w14:paraId="3D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Достижению указанных результатов в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году способствовала </w:t>
      </w:r>
      <w:r>
        <w:rPr>
          <w:sz w:val="28"/>
        </w:rPr>
        <w:t xml:space="preserve"> </w:t>
      </w:r>
      <w:r>
        <w:rPr>
          <w:sz w:val="28"/>
        </w:rPr>
        <w:t>реализация ответственным исполнителем, соисполнителями и участникам</w:t>
      </w:r>
      <w:r>
        <w:rPr>
          <w:sz w:val="28"/>
        </w:rPr>
        <w:t>и основных мероприятий.</w:t>
      </w:r>
    </w:p>
    <w:p w14:paraId="3E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В рамках подпрограммы  </w:t>
      </w:r>
      <w:r>
        <w:rPr>
          <w:sz w:val="28"/>
        </w:rPr>
        <w:t>«Профилактика экстремизма</w:t>
      </w:r>
      <w:r>
        <w:rPr>
          <w:sz w:val="28"/>
        </w:rPr>
        <w:t xml:space="preserve"> </w:t>
      </w:r>
      <w:r>
        <w:rPr>
          <w:sz w:val="28"/>
        </w:rPr>
        <w:t>и терроризма в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 предусмотрена</w:t>
      </w:r>
      <w:r>
        <w:rPr>
          <w:i w:val="1"/>
          <w:sz w:val="18"/>
        </w:rPr>
        <w:t xml:space="preserve">   </w:t>
      </w:r>
      <w:r>
        <w:rPr>
          <w:sz w:val="28"/>
        </w:rPr>
        <w:t xml:space="preserve">реализация </w:t>
      </w:r>
      <w:r>
        <w:rPr>
          <w:sz w:val="28"/>
        </w:rPr>
        <w:t>2</w:t>
      </w:r>
      <w:r>
        <w:rPr>
          <w:sz w:val="28"/>
        </w:rPr>
        <w:t xml:space="preserve"> основных мероприятий</w:t>
      </w:r>
      <w:r>
        <w:rPr>
          <w:sz w:val="28"/>
        </w:rPr>
        <w:t>:</w:t>
      </w:r>
    </w:p>
    <w:p w14:paraId="3F000000">
      <w:pPr>
        <w:pStyle w:val="Style_9"/>
        <w:numPr>
          <w:numId w:val="2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антитеррористической защищенности объектов социальной сферы;</w:t>
      </w:r>
    </w:p>
    <w:p w14:paraId="40000000">
      <w:pPr>
        <w:numPr>
          <w:numId w:val="2"/>
        </w:numPr>
        <w:spacing w:line="276" w:lineRule="auto"/>
        <w:ind w:firstLine="0" w:left="0"/>
        <w:jc w:val="both"/>
        <w:rPr>
          <w:sz w:val="28"/>
        </w:rPr>
      </w:pPr>
      <w:r>
        <w:rPr>
          <w:sz w:val="28"/>
        </w:rPr>
        <w:t>Мероприятия по обеспечению деятельности добровольных народных дружин.</w:t>
      </w:r>
    </w:p>
    <w:p w14:paraId="41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В рамках подпрограммы  </w:t>
      </w:r>
      <w:r>
        <w:rPr>
          <w:sz w:val="28"/>
        </w:rPr>
        <w:t>«Комплексные меры противодействия злоупотреблению наркотиками и их незаконному обороту»</w:t>
      </w:r>
      <w:r>
        <w:rPr>
          <w:sz w:val="28"/>
        </w:rPr>
        <w:t xml:space="preserve"> </w:t>
      </w:r>
      <w:r>
        <w:rPr>
          <w:sz w:val="28"/>
        </w:rPr>
        <w:t xml:space="preserve"> предусмотрена</w:t>
      </w:r>
      <w:r>
        <w:rPr>
          <w:i w:val="1"/>
          <w:sz w:val="18"/>
        </w:rPr>
        <w:t xml:space="preserve">   </w:t>
      </w:r>
      <w:r>
        <w:rPr>
          <w:sz w:val="28"/>
        </w:rPr>
        <w:t>реализация 1 основного мероприятия</w:t>
      </w:r>
      <w:r>
        <w:rPr>
          <w:sz w:val="28"/>
        </w:rPr>
        <w:t>:</w:t>
      </w:r>
    </w:p>
    <w:p w14:paraId="42000000">
      <w:pPr>
        <w:numPr>
          <w:numId w:val="3"/>
        </w:numPr>
        <w:ind w:firstLine="0" w:left="0"/>
        <w:jc w:val="both"/>
        <w:rPr>
          <w:sz w:val="28"/>
        </w:rPr>
      </w:pPr>
      <w:r>
        <w:rPr>
          <w:sz w:val="28"/>
        </w:rPr>
        <w:t>Мероприятия направленные на организацию временной занятости несовершеннолетних граждан в возрасте от 14 до 18 лет в свободное от учебы время.</w:t>
      </w:r>
    </w:p>
    <w:p w14:paraId="43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В рамках подпрограммы  </w:t>
      </w:r>
      <w:r>
        <w:rPr>
          <w:sz w:val="28"/>
        </w:rPr>
        <w:t>«Противодействие коррупции в Кагальницком сельском поселении»</w:t>
      </w:r>
      <w:r>
        <w:rPr>
          <w:sz w:val="28"/>
        </w:rPr>
        <w:t xml:space="preserve"> </w:t>
      </w:r>
      <w:r>
        <w:rPr>
          <w:sz w:val="28"/>
        </w:rPr>
        <w:t>предусмотрена</w:t>
      </w:r>
      <w:r>
        <w:rPr>
          <w:i w:val="1"/>
          <w:sz w:val="18"/>
        </w:rPr>
        <w:t xml:space="preserve">   </w:t>
      </w:r>
      <w:r>
        <w:rPr>
          <w:sz w:val="28"/>
        </w:rPr>
        <w:t>реализация 6 основных мероприятий</w:t>
      </w:r>
      <w:r>
        <w:rPr>
          <w:sz w:val="28"/>
        </w:rPr>
        <w:t>:</w:t>
      </w:r>
    </w:p>
    <w:p w14:paraId="44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овершенствование правового регулирования в сфере противодействия коррупции;</w:t>
      </w:r>
    </w:p>
    <w:p w14:paraId="45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птимизация функционирования системы противодействия коррупции;</w:t>
      </w:r>
    </w:p>
    <w:p w14:paraId="46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нтикоррупционная экспертиза нормативных правовых актов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и их проектов;</w:t>
      </w:r>
    </w:p>
    <w:p w14:paraId="47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самоуправления;</w:t>
      </w:r>
    </w:p>
    <w:p w14:paraId="48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14:paraId="49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беспечение прозрачности деятельности органов местного самоуправления.</w:t>
      </w:r>
    </w:p>
    <w:p w14:paraId="4A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 выполнены в полном объеме:</w:t>
      </w:r>
    </w:p>
    <w:p w14:paraId="4B000000">
      <w:pPr>
        <w:spacing w:line="276" w:lineRule="auto"/>
        <w:ind w:firstLine="851" w:left="0"/>
        <w:jc w:val="center"/>
        <w:rPr>
          <w:sz w:val="28"/>
        </w:rPr>
      </w:pPr>
      <w:r>
        <w:rPr>
          <w:sz w:val="28"/>
        </w:rPr>
        <w:t>СРом = 9/9=1,</w:t>
      </w:r>
    </w:p>
    <w:p w14:paraId="4C000000">
      <w:pPr>
        <w:spacing w:line="276" w:lineRule="auto"/>
        <w:ind/>
        <w:jc w:val="both"/>
        <w:rPr>
          <w:i w:val="1"/>
          <w:sz w:val="18"/>
        </w:rPr>
      </w:pPr>
    </w:p>
    <w:p w14:paraId="4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4E000000">
      <w:pPr>
        <w:widowControl w:val="0"/>
        <w:spacing w:line="276" w:lineRule="auto"/>
        <w:ind w:firstLine="426" w:left="0"/>
        <w:jc w:val="both"/>
        <w:rPr>
          <w:sz w:val="28"/>
        </w:rPr>
      </w:pPr>
      <w:r>
        <w:rPr>
          <w:sz w:val="28"/>
        </w:rPr>
        <w:t>Наступление контрольных событий не предусмотрено муниципальной программой.</w:t>
      </w:r>
    </w:p>
    <w:p w14:paraId="4F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50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Раздел 3. Анализ факторов, повлиявших</w:t>
      </w:r>
    </w:p>
    <w:p w14:paraId="51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на ход реализации муниципальной программы</w:t>
      </w:r>
    </w:p>
    <w:p w14:paraId="52000000">
      <w:pPr>
        <w:pStyle w:val="Style_8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53000000">
      <w:pPr>
        <w:pStyle w:val="Style_8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54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55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56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57000000">
      <w:pPr>
        <w:spacing w:line="276" w:lineRule="auto"/>
        <w:ind w:firstLine="709" w:left="0"/>
        <w:jc w:val="both"/>
        <w:rPr>
          <w:sz w:val="28"/>
        </w:rPr>
      </w:pPr>
    </w:p>
    <w:p w14:paraId="5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составил 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0</w:t>
      </w:r>
      <w:r>
        <w:rPr>
          <w:sz w:val="28"/>
        </w:rPr>
        <w:t xml:space="preserve"> тыс.</w:t>
      </w:r>
      <w:r>
        <w:rPr>
          <w:rStyle w:val="Style_10_ch"/>
          <w:sz w:val="28"/>
        </w:rPr>
        <w:t xml:space="preserve"> ру</w:t>
      </w:r>
      <w:r>
        <w:rPr>
          <w:rStyle w:val="Style_10_ch"/>
          <w:sz w:val="28"/>
        </w:rPr>
        <w:t xml:space="preserve">блей.   </w:t>
      </w:r>
      <w:r>
        <w:rPr>
          <w:i w:val="1"/>
          <w:sz w:val="18"/>
        </w:rPr>
        <w:t xml:space="preserve">                                                                </w:t>
      </w:r>
    </w:p>
    <w:p w14:paraId="5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по источникам финансирования.</w:t>
      </w:r>
    </w:p>
    <w:p w14:paraId="5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соответвствия запланированному уровню расходов за счет средств местного бюджета:</w:t>
      </w:r>
    </w:p>
    <w:p w14:paraId="5B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 = 0,</w:t>
      </w:r>
    </w:p>
    <w:p w14:paraId="5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5D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 = 0,</w:t>
      </w:r>
    </w:p>
    <w:p w14:paraId="5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низкой бюджетной эффективности реализации муниципальной программы.</w:t>
      </w:r>
    </w:p>
    <w:p w14:paraId="5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приведены </w:t>
      </w:r>
    </w:p>
    <w:p w14:paraId="60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>в приложении № 2 к отчету о реализации муниципальной программы.</w:t>
      </w:r>
    </w:p>
    <w:p w14:paraId="61000000">
      <w:pPr>
        <w:spacing w:line="276" w:lineRule="auto"/>
        <w:ind w:firstLine="709" w:left="0"/>
        <w:jc w:val="both"/>
        <w:rPr>
          <w:sz w:val="28"/>
        </w:rPr>
      </w:pPr>
    </w:p>
    <w:p w14:paraId="62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63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64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65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66000000">
      <w:pPr>
        <w:pStyle w:val="Style_11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</w:t>
      </w:r>
      <w:r>
        <w:rPr>
          <w:rStyle w:val="Style_11_ch"/>
          <w:sz w:val="28"/>
        </w:rPr>
        <w:t xml:space="preserve"> предусмотрено </w:t>
      </w:r>
      <w:r>
        <w:rPr>
          <w:rStyle w:val="Style_11_ch"/>
          <w:sz w:val="28"/>
        </w:rPr>
        <w:t>6</w:t>
      </w:r>
      <w:r>
        <w:rPr>
          <w:rStyle w:val="Style_11_ch"/>
          <w:sz w:val="28"/>
        </w:rPr>
        <w:t xml:space="preserve"> показател</w:t>
      </w:r>
      <w:r>
        <w:rPr>
          <w:rStyle w:val="Style_11_ch"/>
          <w:sz w:val="28"/>
        </w:rPr>
        <w:t>ей</w:t>
      </w:r>
      <w:r>
        <w:rPr>
          <w:rStyle w:val="Style_11_ch"/>
          <w:sz w:val="28"/>
        </w:rPr>
        <w:t xml:space="preserve">, по </w:t>
      </w:r>
      <w:r>
        <w:rPr>
          <w:rStyle w:val="Style_11_ch"/>
          <w:sz w:val="28"/>
        </w:rPr>
        <w:t>6</w:t>
      </w:r>
      <w:r>
        <w:rPr>
          <w:rStyle w:val="Style_11_ch"/>
          <w:sz w:val="28"/>
        </w:rPr>
        <w:t xml:space="preserve"> из которых</w:t>
      </w:r>
      <w:r>
        <w:rPr>
          <w:rStyle w:val="Style_11_ch"/>
          <w:sz w:val="28"/>
        </w:rPr>
        <w:t xml:space="preserve"> </w:t>
      </w:r>
      <w:r>
        <w:rPr>
          <w:rStyle w:val="Style_11_ch"/>
          <w:sz w:val="28"/>
        </w:rPr>
        <w:t>фактические значения соответствуют плановым</w:t>
      </w:r>
      <w:r>
        <w:rPr>
          <w:rStyle w:val="Style_11_ch"/>
          <w:sz w:val="28"/>
        </w:rPr>
        <w:t>.</w:t>
      </w:r>
    </w:p>
    <w:p w14:paraId="67000000">
      <w:pPr>
        <w:pStyle w:val="Style_11"/>
        <w:spacing w:after="0" w:line="276" w:lineRule="auto"/>
        <w:ind w:firstLine="709" w:left="0"/>
        <w:jc w:val="both"/>
        <w:rPr>
          <w:sz w:val="28"/>
        </w:rPr>
      </w:pPr>
      <w:r>
        <w:rPr>
          <w:rStyle w:val="Style_11_ch"/>
          <w:sz w:val="28"/>
        </w:rPr>
        <w:t>Суммарная оценка степен</w:t>
      </w:r>
      <w:r>
        <w:rPr>
          <w:rStyle w:val="Style_11_ch"/>
          <w:sz w:val="28"/>
        </w:rPr>
        <w:t>и достижения целевых показателей муниципальной программыи подпрограмм:</w:t>
      </w:r>
    </w:p>
    <w:p w14:paraId="68000000">
      <w:pPr>
        <w:pStyle w:val="Style_11"/>
        <w:spacing w:after="0" w:line="276" w:lineRule="auto"/>
        <w:ind w:firstLine="709" w:left="0"/>
        <w:jc w:val="center"/>
        <w:rPr>
          <w:sz w:val="28"/>
        </w:rPr>
      </w:pPr>
      <w:r>
        <w:rPr>
          <w:rStyle w:val="Style_11_ch"/>
          <w:sz w:val="28"/>
        </w:rPr>
        <w:t>Со = 6/6 = 1,</w:t>
      </w:r>
    </w:p>
    <w:p w14:paraId="69000000">
      <w:pPr>
        <w:pStyle w:val="Style_11"/>
        <w:spacing w:after="0" w:line="276" w:lineRule="auto"/>
        <w:ind w:firstLine="709" w:left="0"/>
        <w:jc w:val="both"/>
        <w:rPr>
          <w:sz w:val="28"/>
        </w:rPr>
      </w:pPr>
      <w:r>
        <w:rPr>
          <w:rStyle w:val="Style_11_ch"/>
          <w:sz w:val="28"/>
        </w:rPr>
        <w:t xml:space="preserve">что характеризует высокий уровень эффективности реализации муниицпальной программы по степени достижения целевых показателей.                                           </w:t>
      </w:r>
    </w:p>
    <w:p w14:paraId="6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rStyle w:val="Style_11_ch"/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</w:t>
      </w:r>
      <w:r>
        <w:rPr>
          <w:rStyle w:val="Style_11_ch"/>
          <w:sz w:val="28"/>
        </w:rPr>
        <w:t xml:space="preserve"> </w:t>
      </w:r>
      <w:r>
        <w:rPr>
          <w:rStyle w:val="Style_11_ch"/>
          <w:sz w:val="28"/>
        </w:rPr>
        <w:t>№ 3 к отчету о реализации муниципальной программы.</w:t>
      </w:r>
    </w:p>
    <w:p w14:paraId="6B000000">
      <w:pPr>
        <w:pStyle w:val="Style_8"/>
        <w:spacing w:after="0" w:before="0" w:line="276" w:lineRule="auto"/>
        <w:ind/>
        <w:rPr>
          <w:b w:val="1"/>
          <w:sz w:val="28"/>
        </w:rPr>
      </w:pPr>
    </w:p>
    <w:p w14:paraId="6C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rStyle w:val="Style_8_ch"/>
          <w:b w:val="1"/>
          <w:sz w:val="28"/>
        </w:rPr>
        <w:t>Раздел 6. Результаты оценки у</w:t>
      </w:r>
      <w:r>
        <w:rPr>
          <w:rStyle w:val="Style_8_ch"/>
          <w:b w:val="1"/>
          <w:sz w:val="28"/>
        </w:rPr>
        <w:t>ровня реализации муниципальной программы</w:t>
      </w:r>
      <w:r>
        <w:rPr>
          <w:rStyle w:val="Style_8_ch"/>
          <w:b w:val="1"/>
          <w:sz w:val="28"/>
        </w:rPr>
        <w:br/>
      </w:r>
    </w:p>
    <w:p w14:paraId="6D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10_ch"/>
          <w:rFonts w:ascii="Times New Roman" w:hAnsi="Times New Roman"/>
          <w:sz w:val="28"/>
        </w:rPr>
        <w:t xml:space="preserve"> с</w:t>
      </w:r>
      <w:r>
        <w:rPr>
          <w:rStyle w:val="Style_10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6E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УРпр=1*0,5+1*0,3+0=0,8</w:t>
      </w:r>
    </w:p>
    <w:p w14:paraId="6F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соответствует удовлетворительному уровню реализации муниципальной программы.</w:t>
      </w:r>
    </w:p>
    <w:p w14:paraId="70000000">
      <w:pPr>
        <w:pStyle w:val="Style_8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</w:t>
      </w:r>
    </w:p>
    <w:p w14:paraId="71000000">
      <w:pPr>
        <w:pStyle w:val="Style_11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72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>показал, что</w:t>
      </w:r>
      <w:r>
        <w:rPr>
          <w:sz w:val="28"/>
        </w:rPr>
        <w:t xml:space="preserve">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реали</w:t>
      </w:r>
      <w:r>
        <w:rPr>
          <w:sz w:val="28"/>
        </w:rPr>
        <w:t xml:space="preserve">зации комплекса мероприятий, </w:t>
      </w:r>
      <w:r>
        <w:rPr>
          <w:sz w:val="28"/>
        </w:rPr>
        <w:t>направленн</w:t>
      </w:r>
      <w:r>
        <w:rPr>
          <w:sz w:val="28"/>
        </w:rPr>
        <w:t>ых</w:t>
      </w:r>
      <w:r>
        <w:rPr>
          <w:sz w:val="28"/>
        </w:rPr>
        <w:t xml:space="preserve"> на решение задач повышения защищенности населения</w:t>
      </w:r>
      <w:r>
        <w:rPr>
          <w:color w:val="000000"/>
          <w:sz w:val="28"/>
        </w:rPr>
        <w:t xml:space="preserve"> Кагальницкого сельского поселения, созданию условий для работы и отдыха жителей поселения, повышению бюджетной эффективности муниципальной программы.</w:t>
      </w:r>
    </w:p>
    <w:p w14:paraId="73000000">
      <w:pPr>
        <w:ind/>
        <w:jc w:val="both"/>
        <w:rPr>
          <w:sz w:val="28"/>
        </w:rPr>
      </w:pPr>
    </w:p>
    <w:p w14:paraId="74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75000000">
      <w:pPr>
        <w:sectPr>
          <w:pgSz w:h="16838" w:orient="portrait" w:w="11906"/>
          <w:pgMar w:bottom="1134" w:footer="709" w:gutter="0" w:header="709" w:left="1418" w:right="850" w:top="851"/>
        </w:sectPr>
      </w:pPr>
    </w:p>
    <w:p w14:paraId="76000000">
      <w:pPr>
        <w:ind w:firstLine="0" w:left="8505"/>
        <w:jc w:val="center"/>
        <w:rPr>
          <w:sz w:val="26"/>
        </w:rPr>
      </w:pPr>
    </w:p>
    <w:p w14:paraId="77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78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79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7A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7B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rFonts w:ascii="Times New Roman" w:hAnsi="Times New Roman"/>
          <w:sz w:val="28"/>
        </w:rPr>
        <w:t xml:space="preserve">» за 2022 год   </w:t>
      </w:r>
    </w:p>
    <w:p w14:paraId="7C000000">
      <w:pPr>
        <w:ind w:firstLine="0" w:left="-708"/>
        <w:jc w:val="right"/>
        <w:rPr>
          <w:sz w:val="24"/>
        </w:rPr>
      </w:pPr>
    </w:p>
    <w:tbl>
      <w:tblPr>
        <w:tblStyle w:val="Style_1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3016"/>
        <w:gridCol w:w="1956"/>
        <w:gridCol w:w="1118"/>
        <w:gridCol w:w="979"/>
        <w:gridCol w:w="838"/>
        <w:gridCol w:w="2795"/>
        <w:gridCol w:w="2236"/>
        <w:gridCol w:w="1677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6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«Профилактика экстремизма и терроризма в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9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Обучение населения действиям по предотвращению угрозы террористических актов, правильным действиям в случае его осуществления. Отработка механизма поведения  в случае ЧС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совместно с ГОЧС Азовского района неоднократно проводились учения по предотвращению </w:t>
            </w:r>
            <w:r>
              <w:rPr>
                <w:rFonts w:ascii="Times New Roman" w:hAnsi="Times New Roman"/>
                <w:sz w:val="24"/>
              </w:rPr>
              <w:t>угрозы террористических актов, правильным действиям в случае его осуществления, отработке механизма поведения  в случае ЧС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Мероприятия по обеспечению деятельности добровольных народных дружин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A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Снижения уровня преступности на территории поселения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территории поселения сформирована добровольная народная дружина, разработаны и утверждены нормативно-правовые акты, регламентирующие их деятельность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Мероприятия направленные на организацию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AC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Привитие минимальных профессиональных навыков и опыта в предстоящей основной трудовой деятельности, воспрепятствование их вовлечения в противоправную деятельность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не достигнуты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с отсутствием на территории поселения подрядной организации</w:t>
            </w:r>
          </w:p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«Противодействие коррупции в Кагальницком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 Совершенствование правового регулирования в сфере противодействия коррупции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B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нармативно-правовых актов в сфере коррупции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нармативно-правовые акты в сфере коррупции актуализированы</w:t>
            </w:r>
          </w:p>
          <w:p w14:paraId="BD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 Оптимизация функционирования системы противодействия коррупции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C2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плана противодействия коррупции, о</w:t>
            </w:r>
            <w:r>
              <w:rPr>
                <w:rStyle w:val="Style_10_ch"/>
                <w:rFonts w:ascii="Times New Roman" w:hAnsi="Times New Roman"/>
                <w:sz w:val="24"/>
              </w:rPr>
              <w:t>беспечение</w:t>
            </w:r>
          </w:p>
          <w:p w14:paraId="C7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действенного</w:t>
            </w:r>
          </w:p>
          <w:p w14:paraId="C8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функционирования</w:t>
            </w:r>
          </w:p>
          <w:p w14:paraId="C9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единой системы</w:t>
            </w:r>
          </w:p>
          <w:p w14:paraId="CA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документооборота,</w:t>
            </w:r>
          </w:p>
          <w:p w14:paraId="CB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позволяющей</w:t>
            </w:r>
          </w:p>
          <w:p w14:paraId="CC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осуществлять ведение</w:t>
            </w:r>
          </w:p>
          <w:p w14:paraId="CD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учета и контроля</w:t>
            </w:r>
          </w:p>
          <w:p w14:paraId="CE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исполнения документов</w:t>
            </w:r>
          </w:p>
          <w:p w14:paraId="CF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единая система документооборота внедрена и эффективно используется в работе, вся входящая и исходящая корреспонденция регистрируется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 Антикоррупционная экспертиза нормативно-правовых актов Кагальницкого сельского поселения и их проектов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D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120" w:before="120" w:line="240" w:lineRule="auto"/>
              <w:ind w:firstLine="22" w:left="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антикоррупционной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экспертизы проектов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нормативно-правовых актов с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целью недопущения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закрепления на нормативном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правовом уровне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возможностей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для коррупционных </w:t>
            </w:r>
            <w:r>
              <w:rPr>
                <w:rStyle w:val="Style_10_ch"/>
                <w:rFonts w:ascii="Times New Roman" w:hAnsi="Times New Roman"/>
                <w:sz w:val="24"/>
              </w:rPr>
              <w:t>проявлений.</w:t>
            </w:r>
          </w:p>
          <w:p w14:paraId="DA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антикоррупционная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экспертиза проектов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нормативно-правовых актов </w:t>
            </w:r>
            <w:r>
              <w:rPr>
                <w:rStyle w:val="Style_10_ch"/>
                <w:rFonts w:ascii="Times New Roman" w:hAnsi="Times New Roman"/>
                <w:sz w:val="24"/>
              </w:rPr>
              <w:t>проводится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3.4. Организация проведения мониторингов общественного мнения по вопросам проявления коррупции, корупциогенности и эффективности мер антикоррупционной направленности в органах местного самоуправления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E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120" w:before="120"/>
              <w:ind w:firstLine="22" w:left="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повышение результативности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и эффективности работы по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рассмотрению обращений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граждан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и организаций по вопросам </w:t>
            </w:r>
            <w:r>
              <w:rPr>
                <w:rStyle w:val="Style_10_ch"/>
                <w:rFonts w:ascii="Times New Roman" w:hAnsi="Times New Roman"/>
                <w:sz w:val="24"/>
              </w:rPr>
              <w:t>противодействия коррупции</w:t>
            </w:r>
          </w:p>
          <w:p w14:paraId="E5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размещена вся необходимая информация для граждан, обращений не поступало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E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размещение информации о противодействии экстремизму и терроризму на информационных стендах и на сайте Кагальницкого сельского поселения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информация о противодействии экстремизму и терроризму на информационных стендах и на сайте Кагальницкого сельского поселения </w:t>
            </w:r>
            <w:r>
              <w:rPr>
                <w:rStyle w:val="Style_10_ch"/>
                <w:rFonts w:ascii="Times New Roman" w:hAnsi="Times New Roman"/>
                <w:sz w:val="24"/>
              </w:rPr>
              <w:t>размещена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3.6. Обеспечение прозрачности деятельности органов местного самоуправления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F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размещение информации о деятельности Администрации Кагальницкого сельского поселения, нормативно-правовых актов на сайте Кагальницкого сельского поселения</w:t>
            </w:r>
          </w:p>
          <w:p w14:paraId="FA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информация о деятельности Администрации Кагальницкого сельского поселения, нормативно-правовых актов на сайте Кагальницкого сельского поселения </w:t>
            </w:r>
            <w:r>
              <w:rPr>
                <w:rStyle w:val="Style_10_ch"/>
                <w:rFonts w:ascii="Times New Roman" w:hAnsi="Times New Roman"/>
                <w:sz w:val="24"/>
              </w:rPr>
              <w:t>размещены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FD000000">
      <w:pPr>
        <w:ind w:firstLine="0" w:left="10773"/>
        <w:jc w:val="right"/>
        <w:rPr>
          <w:sz w:val="24"/>
        </w:rPr>
      </w:pPr>
    </w:p>
    <w:p w14:paraId="FE000000">
      <w:pPr>
        <w:ind w:firstLine="0" w:left="10773"/>
        <w:jc w:val="right"/>
        <w:rPr>
          <w:sz w:val="24"/>
        </w:rPr>
      </w:pPr>
    </w:p>
    <w:p w14:paraId="FF000000">
      <w:pPr>
        <w:ind w:firstLine="0" w:left="10773"/>
        <w:jc w:val="right"/>
        <w:rPr>
          <w:sz w:val="24"/>
        </w:rPr>
      </w:pPr>
    </w:p>
    <w:p w14:paraId="00010000">
      <w:pPr>
        <w:ind w:firstLine="0" w:left="10773"/>
        <w:jc w:val="right"/>
        <w:rPr>
          <w:sz w:val="24"/>
        </w:rPr>
      </w:pPr>
    </w:p>
    <w:p w14:paraId="01010000">
      <w:pPr>
        <w:ind w:firstLine="0" w:left="10773"/>
        <w:jc w:val="right"/>
        <w:rPr>
          <w:sz w:val="24"/>
        </w:rPr>
      </w:pPr>
    </w:p>
    <w:p w14:paraId="02010000">
      <w:pPr>
        <w:ind w:firstLine="0" w:left="10773"/>
        <w:jc w:val="right"/>
        <w:rPr>
          <w:sz w:val="24"/>
        </w:rPr>
      </w:pPr>
    </w:p>
    <w:p w14:paraId="03010000">
      <w:pPr>
        <w:ind w:firstLine="0" w:left="10773"/>
        <w:jc w:val="right"/>
        <w:rPr>
          <w:sz w:val="24"/>
        </w:rPr>
      </w:pPr>
    </w:p>
    <w:p w14:paraId="04010000">
      <w:pPr>
        <w:ind w:firstLine="0" w:left="10773"/>
        <w:jc w:val="right"/>
        <w:rPr>
          <w:sz w:val="24"/>
        </w:rPr>
      </w:pPr>
    </w:p>
    <w:p w14:paraId="05010000">
      <w:pPr>
        <w:ind w:firstLine="0" w:left="10773"/>
        <w:jc w:val="right"/>
        <w:rPr>
          <w:sz w:val="24"/>
        </w:rPr>
      </w:pPr>
    </w:p>
    <w:p w14:paraId="06010000">
      <w:pPr>
        <w:ind w:firstLine="0" w:left="10773"/>
        <w:jc w:val="right"/>
        <w:rPr>
          <w:sz w:val="24"/>
        </w:rPr>
      </w:pPr>
    </w:p>
    <w:p w14:paraId="07010000">
      <w:pPr>
        <w:ind w:firstLine="0" w:left="10773"/>
        <w:jc w:val="right"/>
        <w:rPr>
          <w:sz w:val="24"/>
        </w:rPr>
      </w:pPr>
    </w:p>
    <w:p w14:paraId="08010000">
      <w:pPr>
        <w:ind w:firstLine="0" w:left="10773"/>
        <w:jc w:val="right"/>
        <w:rPr>
          <w:sz w:val="24"/>
        </w:rPr>
      </w:pPr>
    </w:p>
    <w:p w14:paraId="09010000">
      <w:pPr>
        <w:ind w:firstLine="0" w:left="10773"/>
        <w:jc w:val="right"/>
        <w:rPr>
          <w:sz w:val="24"/>
        </w:rPr>
      </w:pPr>
    </w:p>
    <w:p w14:paraId="0A010000">
      <w:pPr>
        <w:ind w:firstLine="0" w:left="10773"/>
        <w:jc w:val="right"/>
        <w:rPr>
          <w:sz w:val="24"/>
        </w:rPr>
      </w:pPr>
    </w:p>
    <w:p w14:paraId="0B010000">
      <w:pPr>
        <w:ind w:firstLine="0" w:left="10773"/>
        <w:jc w:val="right"/>
        <w:rPr>
          <w:sz w:val="24"/>
        </w:rPr>
      </w:pPr>
    </w:p>
    <w:p w14:paraId="0C010000">
      <w:pPr>
        <w:ind w:firstLine="0" w:left="10773"/>
        <w:jc w:val="right"/>
        <w:rPr>
          <w:sz w:val="24"/>
        </w:rPr>
      </w:pPr>
    </w:p>
    <w:p w14:paraId="0D010000">
      <w:pPr>
        <w:ind w:firstLine="0" w:left="10773"/>
        <w:jc w:val="right"/>
        <w:rPr>
          <w:sz w:val="24"/>
        </w:rPr>
      </w:pPr>
    </w:p>
    <w:p w14:paraId="0E010000">
      <w:pPr>
        <w:ind w:firstLine="0" w:left="10773"/>
        <w:jc w:val="right"/>
        <w:rPr>
          <w:sz w:val="24"/>
        </w:rPr>
      </w:pPr>
    </w:p>
    <w:p w14:paraId="0F010000">
      <w:pPr>
        <w:ind w:firstLine="0" w:left="10773"/>
        <w:jc w:val="right"/>
        <w:rPr>
          <w:sz w:val="24"/>
        </w:rPr>
      </w:pPr>
    </w:p>
    <w:p w14:paraId="10010000">
      <w:pPr>
        <w:ind w:firstLine="0" w:left="10773"/>
        <w:jc w:val="right"/>
        <w:rPr>
          <w:sz w:val="24"/>
        </w:rPr>
      </w:pPr>
    </w:p>
    <w:p w14:paraId="11010000">
      <w:pPr>
        <w:ind w:firstLine="0" w:left="10773"/>
        <w:jc w:val="right"/>
        <w:rPr>
          <w:sz w:val="24"/>
        </w:rPr>
      </w:pPr>
    </w:p>
    <w:p w14:paraId="12010000">
      <w:pPr>
        <w:ind w:firstLine="0" w:left="10773"/>
        <w:jc w:val="right"/>
        <w:rPr>
          <w:sz w:val="24"/>
        </w:rPr>
      </w:pPr>
    </w:p>
    <w:p w14:paraId="13010000">
      <w:pPr>
        <w:ind w:firstLine="0" w:left="10773"/>
        <w:jc w:val="right"/>
        <w:rPr>
          <w:sz w:val="24"/>
        </w:rPr>
      </w:pPr>
    </w:p>
    <w:p w14:paraId="14010000">
      <w:pPr>
        <w:ind w:firstLine="0" w:left="10773"/>
        <w:jc w:val="right"/>
        <w:rPr>
          <w:sz w:val="24"/>
        </w:rPr>
      </w:pPr>
    </w:p>
    <w:p w14:paraId="15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№2</w:t>
      </w:r>
    </w:p>
    <w:p w14:paraId="16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17010000">
      <w:pPr>
        <w:ind w:firstLine="0" w:left="-284"/>
        <w:contextualSpacing w:val="1"/>
        <w:jc w:val="right"/>
        <w:rPr>
          <w:rFonts w:ascii="Times New Roman" w:hAnsi="Times New Roman"/>
          <w:sz w:val="28"/>
        </w:rPr>
      </w:pPr>
    </w:p>
    <w:p w14:paraId="1801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9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1A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rFonts w:ascii="Times New Roman" w:hAnsi="Times New Roman"/>
          <w:sz w:val="28"/>
        </w:rPr>
        <w:t xml:space="preserve">» за 2022 год </w:t>
      </w:r>
    </w:p>
    <w:tbl>
      <w:tblPr>
        <w:tblStyle w:val="Style_1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1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2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10_ch"/>
                <w:rFonts w:ascii="Times New Roman" w:hAnsi="Times New Roman"/>
                <w:sz w:val="24"/>
              </w:rPr>
              <w:t>«</w:t>
            </w:r>
            <w:r>
              <w:rPr>
                <w:rStyle w:val="Style_10_ch"/>
                <w:rFonts w:ascii="Times New Roman" w:hAnsi="Times New Roman"/>
                <w:sz w:val="24"/>
              </w:rPr>
              <w:t>Об</w:t>
            </w:r>
            <w:r>
              <w:rPr>
                <w:rStyle w:val="Style_10_ch"/>
                <w:rFonts w:ascii="Times New Roman" w:hAnsi="Times New Roman"/>
                <w:sz w:val="24"/>
              </w:rPr>
              <w:t>еспечение общественного порядка и противодействия преступности</w:t>
            </w:r>
            <w:r>
              <w:rPr>
                <w:rStyle w:val="Style_10_ch"/>
                <w:rFonts w:ascii="Times New Roman" w:hAnsi="Times New Roman"/>
                <w:sz w:val="24"/>
              </w:rPr>
              <w:t>»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1010000">
      <w:pPr>
        <w:widowControl w:val="0"/>
        <w:ind/>
        <w:jc w:val="center"/>
        <w:rPr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42010000">
      <w:pPr>
        <w:ind/>
        <w:jc w:val="right"/>
        <w:rPr>
          <w:sz w:val="24"/>
        </w:rPr>
      </w:pPr>
    </w:p>
    <w:p w14:paraId="43010000">
      <w:pPr>
        <w:ind/>
        <w:jc w:val="right"/>
        <w:rPr>
          <w:sz w:val="24"/>
        </w:rPr>
      </w:pPr>
    </w:p>
    <w:p w14:paraId="44010000">
      <w:pPr>
        <w:ind/>
        <w:jc w:val="right"/>
        <w:rPr>
          <w:b w:val="1"/>
          <w:sz w:val="28"/>
        </w:rPr>
      </w:pPr>
    </w:p>
    <w:p w14:paraId="45010000">
      <w:pPr>
        <w:widowControl w:val="0"/>
        <w:ind/>
        <w:jc w:val="center"/>
        <w:rPr>
          <w:sz w:val="24"/>
        </w:rPr>
      </w:pPr>
    </w:p>
    <w:p w14:paraId="46010000">
      <w:pPr>
        <w:widowControl w:val="0"/>
        <w:ind/>
        <w:jc w:val="center"/>
        <w:rPr>
          <w:sz w:val="24"/>
        </w:rPr>
      </w:pPr>
    </w:p>
    <w:p w14:paraId="47010000">
      <w:pPr>
        <w:widowControl w:val="0"/>
        <w:ind/>
        <w:jc w:val="center"/>
        <w:rPr>
          <w:sz w:val="24"/>
        </w:rPr>
      </w:pPr>
    </w:p>
    <w:p w14:paraId="48010000">
      <w:pPr>
        <w:widowControl w:val="0"/>
        <w:ind/>
        <w:jc w:val="center"/>
        <w:rPr>
          <w:sz w:val="24"/>
        </w:rPr>
      </w:pPr>
    </w:p>
    <w:p w14:paraId="49010000">
      <w:pPr>
        <w:widowControl w:val="0"/>
        <w:ind/>
        <w:jc w:val="center"/>
        <w:rPr>
          <w:sz w:val="24"/>
        </w:rPr>
      </w:pPr>
    </w:p>
    <w:p w14:paraId="4A010000">
      <w:pPr>
        <w:widowControl w:val="0"/>
        <w:ind/>
        <w:jc w:val="center"/>
        <w:rPr>
          <w:sz w:val="24"/>
        </w:rPr>
      </w:pPr>
    </w:p>
    <w:p w14:paraId="4B010000">
      <w:pPr>
        <w:widowControl w:val="0"/>
        <w:ind/>
        <w:jc w:val="center"/>
        <w:rPr>
          <w:sz w:val="24"/>
        </w:rPr>
      </w:pPr>
    </w:p>
    <w:p w14:paraId="4C010000">
      <w:pPr>
        <w:widowControl w:val="0"/>
        <w:ind/>
        <w:jc w:val="center"/>
        <w:rPr>
          <w:sz w:val="24"/>
        </w:rPr>
      </w:pPr>
    </w:p>
    <w:p w14:paraId="4D010000">
      <w:pPr>
        <w:widowControl w:val="0"/>
        <w:ind/>
        <w:jc w:val="center"/>
        <w:rPr>
          <w:sz w:val="24"/>
        </w:rPr>
      </w:pPr>
    </w:p>
    <w:p w14:paraId="4E010000">
      <w:pPr>
        <w:widowControl w:val="0"/>
        <w:ind/>
        <w:jc w:val="center"/>
        <w:rPr>
          <w:sz w:val="24"/>
        </w:rPr>
      </w:pPr>
    </w:p>
    <w:p w14:paraId="4F010000">
      <w:pPr>
        <w:widowControl w:val="0"/>
        <w:ind/>
        <w:jc w:val="center"/>
        <w:rPr>
          <w:sz w:val="24"/>
        </w:rPr>
      </w:pPr>
    </w:p>
    <w:p w14:paraId="50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№3</w:t>
      </w:r>
    </w:p>
    <w:p w14:paraId="51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52010000">
      <w:pPr>
        <w:widowControl w:val="0"/>
        <w:ind/>
        <w:jc w:val="center"/>
        <w:rPr>
          <w:sz w:val="24"/>
        </w:rPr>
      </w:pPr>
    </w:p>
    <w:p w14:paraId="5301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54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2"/>
        <w:tblInd w:type="dxa" w:w="1597"/>
        <w:tblLayout w:type="fixed"/>
        <w:tblCellMar>
          <w:left w:type="dxa" w:w="75"/>
          <w:right w:type="dxa" w:w="75"/>
        </w:tblCellMar>
      </w:tblPr>
      <w:tblGrid>
        <w:gridCol w:w="687"/>
        <w:gridCol w:w="3510"/>
        <w:gridCol w:w="1418"/>
        <w:gridCol w:w="1627"/>
        <w:gridCol w:w="1395"/>
        <w:gridCol w:w="1410"/>
        <w:gridCol w:w="1860"/>
      </w:tblGrid>
      <w:tr>
        <w:tc>
          <w:tcPr>
            <w:tcW w:type="dxa" w:w="6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4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80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19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 Профилактика экстремизма и терроризма в сельском поселении»</w:t>
            </w:r>
          </w:p>
        </w:tc>
      </w:tr>
      <w:tr>
        <w:trPr>
          <w:trHeight w:hRule="atLeast" w:val="313"/>
        </w:trP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Количество    преступлений, совершенных несовершеннолетними или при их соучастии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Доля образовательных организаций, учреждений, имеющих ограждение по периметру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Удельный вес населения, занимающегося физкультурой и спортом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119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2. 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Доля обучающихся и воспитанников, прошедших    обучение по образовательным программам</w:t>
            </w:r>
          </w:p>
          <w:p w14:paraId="8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профилактической направленности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119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8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3. «Противодействие коррупции в Кагальницком сельском поселении»</w:t>
            </w:r>
          </w:p>
        </w:tc>
      </w:tr>
      <w:tr>
        <w:tc>
          <w:tcPr>
            <w:tcW w:type="dxa" w:w="687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510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8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139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86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9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6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rPr>
                <w:sz w:val="24"/>
              </w:rPr>
            </w:pPr>
          </w:p>
        </w:tc>
      </w:tr>
    </w:tbl>
    <w:p w14:paraId="9B010000">
      <w:pPr>
        <w:widowControl w:val="0"/>
        <w:ind w:firstLine="540" w:left="0"/>
        <w:jc w:val="right"/>
        <w:rPr>
          <w:sz w:val="24"/>
        </w:rPr>
      </w:pPr>
    </w:p>
    <w:sectPr>
      <w:footerReference r:id="rId1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</w:rPr>
  </w:style>
  <w:style w:default="1" w:styleId="Style_10_ch" w:type="character">
    <w:name w:val="Normal"/>
    <w:link w:val="Style_10"/>
    <w:rPr>
      <w:rFonts w:ascii="Times New Roman" w:hAnsi="Times New Roman"/>
    </w:rPr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10"/>
    <w:next w:val="Style_10"/>
    <w:link w:val="Style_17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7_ch" w:type="character">
    <w:name w:val="heading 3"/>
    <w:basedOn w:val="Style_10_ch"/>
    <w:link w:val="Style_17"/>
    <w:rPr>
      <w:b w:val="1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8" w:type="paragraph">
    <w:name w:val="Body Text 2"/>
    <w:basedOn w:val="Style_10"/>
    <w:link w:val="Style_18_ch"/>
    <w:pPr>
      <w:spacing w:after="120" w:line="480" w:lineRule="auto"/>
      <w:ind/>
    </w:pPr>
  </w:style>
  <w:style w:styleId="Style_18_ch" w:type="character">
    <w:name w:val="Body Text 2"/>
    <w:basedOn w:val="Style_10_ch"/>
    <w:link w:val="Style_18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20" w:type="paragraph">
    <w:name w:val="toc 3"/>
    <w:next w:val="Style_10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6" w:type="paragraph">
    <w:name w:val="ConsNonformat"/>
    <w:link w:val="Style_6_ch"/>
    <w:pPr>
      <w:widowControl w:val="0"/>
      <w:ind w:right="19772"/>
    </w:pPr>
    <w:rPr>
      <w:rFonts w:ascii="Courier New" w:hAnsi="Courier New"/>
      <w:sz w:val="22"/>
    </w:rPr>
  </w:style>
  <w:style w:styleId="Style_6_ch" w:type="character">
    <w:name w:val="ConsNonformat"/>
    <w:link w:val="Style_6"/>
    <w:rPr>
      <w:rFonts w:ascii="Courier New" w:hAnsi="Courier New"/>
      <w:sz w:val="22"/>
    </w:rPr>
  </w:style>
  <w:style w:styleId="Style_21" w:type="paragraph">
    <w:name w:val="heading 5"/>
    <w:next w:val="Style_10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3" w:type="paragraph">
    <w:name w:val="heading 1"/>
    <w:basedOn w:val="Style_10"/>
    <w:next w:val="Style_10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10_ch"/>
    <w:link w:val="Style_3"/>
    <w:rPr>
      <w:b w:val="1"/>
      <w:sz w:val="28"/>
    </w:rPr>
  </w:style>
  <w:style w:styleId="Style_22" w:type="paragraph">
    <w:name w:val="Hyperlink"/>
    <w:basedOn w:val="Style_23"/>
    <w:link w:val="Style_22_ch"/>
    <w:rPr>
      <w:color w:val="0000FF"/>
      <w:u w:val="single"/>
    </w:rPr>
  </w:style>
  <w:style w:styleId="Style_22_ch" w:type="character">
    <w:name w:val="Hyperlink"/>
    <w:basedOn w:val="Style_23_ch"/>
    <w:link w:val="Style_22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0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Balloon Text"/>
    <w:basedOn w:val="Style_10"/>
    <w:link w:val="Style_27_ch"/>
    <w:rPr>
      <w:rFonts w:ascii="Tahoma" w:hAnsi="Tahoma"/>
      <w:sz w:val="16"/>
    </w:rPr>
  </w:style>
  <w:style w:styleId="Style_27_ch" w:type="character">
    <w:name w:val="Balloon Text"/>
    <w:basedOn w:val="Style_10_ch"/>
    <w:link w:val="Style_27"/>
    <w:rPr>
      <w:rFonts w:ascii="Tahoma" w:hAnsi="Tahoma"/>
      <w:sz w:val="16"/>
    </w:rPr>
  </w:style>
  <w:style w:styleId="Style_28" w:type="paragraph">
    <w:name w:val="toc 9"/>
    <w:next w:val="Style_10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8" w:type="paragraph">
    <w:name w:val="Normal (Web)"/>
    <w:basedOn w:val="Style_10"/>
    <w:link w:val="Style_8_ch"/>
    <w:pPr>
      <w:spacing w:after="119" w:before="280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11" w:type="paragraph">
    <w:name w:val="Body Text"/>
    <w:basedOn w:val="Style_10"/>
    <w:link w:val="Style_11_ch"/>
    <w:pPr>
      <w:spacing w:after="120"/>
      <w:ind/>
    </w:pPr>
    <w:rPr>
      <w:sz w:val="24"/>
    </w:rPr>
  </w:style>
  <w:style w:styleId="Style_11_ch" w:type="character">
    <w:name w:val="Body Text"/>
    <w:basedOn w:val="Style_10_ch"/>
    <w:link w:val="Style_11"/>
    <w:rPr>
      <w:sz w:val="24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29" w:type="paragraph">
    <w:name w:val="toc 8"/>
    <w:next w:val="Style_10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0" w:type="paragraph">
    <w:name w:val="toc 5"/>
    <w:next w:val="Style_10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 Indent"/>
    <w:basedOn w:val="Style_10"/>
    <w:link w:val="Style_31_ch"/>
    <w:pPr>
      <w:ind w:firstLine="1134" w:left="0"/>
      <w:jc w:val="both"/>
    </w:pPr>
    <w:rPr>
      <w:sz w:val="28"/>
    </w:rPr>
  </w:style>
  <w:style w:styleId="Style_31_ch" w:type="character">
    <w:name w:val="Body Text Indent"/>
    <w:basedOn w:val="Style_10_ch"/>
    <w:link w:val="Style_31"/>
    <w:rPr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4" w:type="paragraph">
    <w:name w:val="Subtitle"/>
    <w:basedOn w:val="Style_10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10_ch"/>
    <w:link w:val="Style_4"/>
    <w:rPr>
      <w:b w:val="1"/>
      <w:sz w:val="26"/>
    </w:rPr>
  </w:style>
  <w:style w:styleId="Style_33" w:type="paragraph">
    <w:name w:val="Title"/>
    <w:basedOn w:val="Style_10"/>
    <w:link w:val="Style_33_ch"/>
    <w:uiPriority w:val="10"/>
    <w:qFormat/>
    <w:pPr>
      <w:ind/>
      <w:jc w:val="center"/>
    </w:pPr>
    <w:rPr>
      <w:sz w:val="28"/>
    </w:rPr>
  </w:style>
  <w:style w:styleId="Style_33_ch" w:type="character">
    <w:name w:val="Title"/>
    <w:basedOn w:val="Style_10_ch"/>
    <w:link w:val="Style_33"/>
    <w:rPr>
      <w:sz w:val="28"/>
    </w:rPr>
  </w:style>
  <w:style w:styleId="Style_34" w:type="paragraph">
    <w:name w:val="heading 4"/>
    <w:next w:val="Style_10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ConsTitle"/>
    <w:link w:val="Style_35_ch"/>
    <w:pPr>
      <w:ind w:right="19772"/>
    </w:pPr>
    <w:rPr>
      <w:rFonts w:ascii="Arial" w:hAnsi="Arial"/>
      <w:b w:val="1"/>
      <w:sz w:val="32"/>
    </w:rPr>
  </w:style>
  <w:style w:styleId="Style_35_ch" w:type="character">
    <w:name w:val="ConsTitle"/>
    <w:link w:val="Style_35"/>
    <w:rPr>
      <w:rFonts w:ascii="Arial" w:hAnsi="Arial"/>
      <w:b w:val="1"/>
      <w:sz w:val="32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ConsPlusCell"/>
    <w:link w:val="Style_37_ch"/>
    <w:pPr>
      <w:widowControl w:val="0"/>
      <w:ind/>
    </w:pPr>
    <w:rPr>
      <w:sz w:val="22"/>
    </w:rPr>
  </w:style>
  <w:style w:styleId="Style_37_ch" w:type="character">
    <w:name w:val="ConsPlusCell"/>
    <w:link w:val="Style_37"/>
    <w:rPr>
      <w:sz w:val="22"/>
    </w:rPr>
  </w:style>
  <w:style w:styleId="Style_38" w:type="paragraph">
    <w:name w:val="heading 2"/>
    <w:next w:val="Style_10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Table Grid"/>
    <w:basedOn w:val="Style_1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2023-03-17T10:48:13Z</dcterms:modified>
</cp:coreProperties>
</file>