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0"/>
        <w:tblLayout w:type="fixed"/>
      </w:tblPr>
      <w:tblGrid>
        <w:gridCol w:w="10715"/>
      </w:tblGrid>
      <w:tr>
        <w:tc>
          <w:tcPr>
            <w:tcW w:type="dxa" w:w="1071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00000">
            <w:pPr>
              <w:spacing w:after="0" w:before="0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Соглашение №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1/5д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6"/>
              </w:rPr>
              <w:t> </w:t>
            </w:r>
          </w:p>
          <w:p w14:paraId="06000000">
            <w:pPr>
              <w:spacing w:after="0" w:before="0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мерах по социально-экономическому развитию и оздоровлению муниципальных финансов</w:t>
            </w:r>
          </w:p>
          <w:p w14:paraId="07000000">
            <w:pPr>
              <w:spacing w:after="0" w:before="0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Кагальницкого сельского поселения Азовского района</w:t>
            </w:r>
          </w:p>
          <w:p w14:paraId="08000000">
            <w:pPr>
              <w:spacing w:after="0" w:before="0"/>
              <w:ind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</w:p>
          <w:p w14:paraId="09000000"/>
          <w:tbl>
            <w:tblPr>
              <w:tblStyle w:val="Style_1"/>
              <w:tblInd w:type="dxa" w:w="0"/>
              <w:tblLayout w:type="fixed"/>
            </w:tblPr>
            <w:tblGrid>
              <w:gridCol w:w="5250"/>
              <w:gridCol w:w="5251"/>
            </w:tblGrid>
            <w:tr>
              <w:tc>
                <w:tcPr>
                  <w:tcW w:type="dxa" w:w="5250"/>
                  <w:tcMar>
                    <w:top w:type="dxa" w:w="30"/>
                    <w:left w:type="dxa" w:w="30"/>
                    <w:bottom w:type="dxa" w:w="30"/>
                    <w:right w:type="dxa" w:w="30"/>
                  </w:tcMar>
                  <w:vAlign w:val="top"/>
                </w:tcPr>
                <w:p w14:paraId="0A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>г. Ростов-на-Дону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> </w:t>
                  </w:r>
                </w:p>
              </w:tc>
              <w:tc>
                <w:tcPr>
                  <w:tcW w:type="dxa" w:w="5251"/>
                  <w:tcMar>
                    <w:top w:type="dxa" w:w="30"/>
                    <w:left w:type="dxa" w:w="30"/>
                    <w:bottom w:type="dxa" w:w="30"/>
                    <w:right w:type="dxa" w:w="30"/>
                  </w:tcMar>
                  <w:vAlign w:val="top"/>
                </w:tcPr>
                <w:p w14:paraId="0B000000">
                  <w:pPr>
                    <w:spacing w:after="0" w:before="0"/>
                    <w:ind/>
                    <w:jc w:val="right"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>29 декабря 2023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sz w:val="24"/>
                    </w:rPr>
                    <w:t> </w:t>
                  </w:r>
                </w:p>
              </w:tc>
            </w:tr>
          </w:tbl>
          <w:p w14:paraId="0C000000">
            <w:pPr>
              <w:spacing w:after="0" w:before="0"/>
              <w:ind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                                                                                                                                                                                                                                                       </w:t>
            </w:r>
          </w:p>
          <w:p w14:paraId="0D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Министерство финансов Ростовской области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именуемое в дальнейшем «Министерство», в лице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Заместителя Губернатора Ростовской области - министра финансов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  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Федотовой Лилии Вадимовны,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действующей на основании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Положения о министерстве финансов Ростовской области, утвержденного постановлением Правительства Ростовской области от 24.11.2011 № 172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, с одной стороны, 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Администрация Кагальницкого сельского поселения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, являющегося получателем дотации на выравнивание бюджетной обеспеченности поселений из областного бюджета и (или) доходов по замещающим указанные дотации дополнительным нормативам отчислений от налога на доходы физических лиц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, именуемая в дальнейшем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Получатель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, в лице 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главы Администрации Кагальницкого сельского поселения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Малеряна Камо Артаваздовича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, действующего(ей) на основании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Устава муниципального образования «Кагальницкое сельское поселение»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, с другой стороны,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далее именуемые «Стороны», в соответствии со статьей 137 Бюджетного кодекса Российской Федерации, частью 3 статьи 7 Областного закона от 26.12.2016 № 834-ЗС «О межбюджетных отношениях органов государственной власти и органов местного самоуправления в Ростовской области» и постановлением Правительства Ростовской области от 22.01.2020 № 38 «О соглашениях, которые предусматривают меры по социально-экономическому развитию и оздоровлению муниципальных финансов муниципального района (городского округа), поселения в Ростовской области» (далее – Постановление), заключили настоящее Соглашение о нижеследующем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.</w:t>
            </w:r>
          </w:p>
          <w:p w14:paraId="0E000000">
            <w:pPr>
              <w:spacing w:after="0" w:before="0"/>
              <w:ind/>
            </w:pPr>
          </w:p>
          <w:p w14:paraId="0F000000">
            <w:pPr>
              <w:spacing w:after="0" w:before="0"/>
              <w:ind/>
            </w:pPr>
          </w:p>
          <w:p w14:paraId="10000000">
            <w:pPr>
              <w:spacing w:after="0" w:before="0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1. Предмет Соглашения</w:t>
            </w:r>
          </w:p>
          <w:p w14:paraId="11000000">
            <w:pPr>
              <w:spacing w:after="0" w:before="0"/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</w:p>
          <w:p w14:paraId="12000000">
            <w:pPr>
              <w:spacing w:after="0" w:before="0"/>
              <w:ind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Предметом настоящего Соглашения является осуществление в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году предоставления дотации мер по социально-экономическому развитию и оздоровлению муниципальных финансов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Кагальницкого сельского поселения Азовского района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, являющегося 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получателем дотации на выравнивание бюджетной обеспеченности поселений из областного бюджета и (или) доходов по замещающим указанные дотации дополнительным нормативам отчислений от налога на доходы физических лиц (далее - дотация), предусмотренных 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Областным законом от 14.12.2023 № 58-ЗС «Об областном бюджете на 2024 год и на плановый период 2025 и 2026 годов».</w:t>
            </w:r>
          </w:p>
          <w:p w14:paraId="13000000">
            <w:pPr>
              <w:spacing w:after="0" w:before="0"/>
              <w:ind/>
            </w:pPr>
          </w:p>
          <w:p w14:paraId="14000000">
            <w:pPr>
              <w:spacing w:after="0" w:before="0"/>
              <w:ind/>
            </w:pPr>
          </w:p>
          <w:p w14:paraId="15000000">
            <w:pPr>
              <w:spacing w:after="0" w:before="0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2. Обязанности сторон</w:t>
            </w:r>
          </w:p>
          <w:p w14:paraId="16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</w:p>
          <w:p w14:paraId="17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</w:t>
            </w:r>
            <w:r>
              <w:rPr>
                <w:rFonts w:ascii="times new roman" w:hAnsi="times new roman"/>
                <w:color w:val="000000"/>
                <w:spacing w:val="0"/>
                <w:sz w:val="1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Получатель обязан:</w:t>
            </w:r>
          </w:p>
          <w:p w14:paraId="18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2.1.1. Реализовать следующие меры, направленные на увеличение налоговых и неналоговых доходов бюджета муниципального образования:</w:t>
            </w:r>
          </w:p>
          <w:p w14:paraId="19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2.1.1.1. Обеспечить прирост налоговых и неналоговых доходов местного бюджета по итогам его исполнения за год предоставления дотации по сравнению с уровнем исполнения за предыдущий финансовый год (в процентах).</w:t>
            </w:r>
          </w:p>
          <w:p w14:paraId="1A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2.1.1.2. Обеспечить до 20 августа года предоставления дотации проведение оценки эффективности налоговых льгот (пониженных ставок по налогам), предоставляемых органом местного самоуправления, в соответствии с требованиями к оценке налоговых расходов, предусмотренными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и представление ее результатов в министерство финансов Ростовской области.</w:t>
            </w:r>
          </w:p>
          <w:p w14:paraId="1B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2.1.1.3. Обеспечить утверждение до 1 апреля плана мероприятий по росту доходного потенциала муниципального образования и (или) оптимизации расходов местного бюджета, предусматривающего, в том числе мероприятия по повышению эффективности расходов на содержание бюджетной сети, и его реализации в году предоставления дотации.</w:t>
            </w:r>
          </w:p>
          <w:p w14:paraId="1C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2.1.1.4. Включать в решение о бюджете муниципального образования:</w:t>
            </w:r>
          </w:p>
          <w:p w14:paraId="1D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поступлений от продажи имущества на основании прогнозного плана (программы) приватизации муниципального имущества;</w:t>
            </w:r>
          </w:p>
          <w:p w14:paraId="1E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доходов от продажи земельных участков после их фактического поступления в бюджет;</w:t>
            </w:r>
          </w:p>
          <w:p w14:paraId="1F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средств от продажи акций и иных форм участия в капитале, находящихся в муниципальной собственности, после их фактического поступления в бюджет.</w:t>
            </w:r>
          </w:p>
          <w:p w14:paraId="20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2.1.1.5. Утверждение до 1 апреля плана («дорожной карты») по взысканию дебиторской задолженности по платежам в местный бюджет,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утверждёнными в соответствии с подпунктом «и3» пункта 2 Правил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Федерации, утвержденных постановлением Правительства Российской Федерации от 29.12.2007 № 995.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 </w:t>
            </w:r>
          </w:p>
          <w:p w14:paraId="21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2.1.2. Реализовать следующие 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меры, направленные на оптимизацию расходов бюджета муниципального образования:</w:t>
            </w:r>
          </w:p>
          <w:p w14:paraId="22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2.1.2.1. Соблюдать нормативы формирования расходов на содержание органов местного самоуправления, установленные Правительством Ростовской области.</w:t>
            </w:r>
          </w:p>
          <w:p w14:paraId="23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2.1.2.10. Не допускать приобретения служебных легковых автотранспортных средств в муниципальную собственность для должностных лиц органов местного самоуправления и структур местной администрации муниципального образования стоимостью более 2,5 млн рублей.</w:t>
            </w:r>
          </w:p>
          <w:p w14:paraId="24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2.1.2.11. Размещать на официальных сайтах органов местного самоуправления муниципальных образований в информационно-телекоммуникационной сети «Интернет» утвержденные решения о бюджетах муниципальных образований.</w:t>
            </w:r>
          </w:p>
          <w:p w14:paraId="25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2.1.2.12. Ежемесячно размещать на официальных сайтах органов местного самоуправления муниципальных образований в информационно-телекоммуникационной сети «Интернет» отчеты об исполнении бюджетов муниципальных образований.</w:t>
            </w:r>
          </w:p>
          <w:p w14:paraId="26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2.1.2.2. Направлять объем прироста дотации на выравнивание бюджетной обеспеченности муниципальных образований и (или) доходов по замещающим указанные дотации дополнительным нормативам отчислений от налога на доходы физических лиц в году предоставления дотации по сравнению с уровнем предыдущего финансового года в полном объеме на финансовое обеспечение расходов на выплату заработной платы с начислениями, взносы по обязательному социальному страхованию, на выплаты денежного содержания и иные выплаты работникам, оплату коммунальных услуг, услуг связи, приобретаемых для муниципальных нужд продуктов питания, медикаментов, котельного и печного топлива, горюче-смазочных материалов, уплату налогов и сборов.</w:t>
            </w:r>
          </w:p>
          <w:p w14:paraId="27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2.1.2.3. Не снижать объем расходов бюджета, утвержденных решением о бюджете на очередной год и на плановый период, в части расходов на оплату труда работников бюджетной сферы и начислений на нее, расходов, связанных с предоставлением мер социальной поддержки граждан, путем внесения изменений в решение о бюджете муниципальных образований на очередной год и на плановый период и (или) в показатели сводной бюджетной росписи местного бюджета (за исключением случаев экономии, реорганизации бюджетных учреждений).</w:t>
            </w:r>
          </w:p>
          <w:p w14:paraId="28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2.1.2.4. Не допускать органами местного самоуправления муниципального образования, на которое распространяются положения пункта 3 статьи 136 Бюджетного кодекса Российской Федерации, установление и исполнение расходных обязательств, не связанных с решением вопросов, отнесенных Конституцией Российской Федерации, федеральными законами, областными законами к полномочиям органов местного самоуправления муниципального образования (за исключением вопросов, указанных в части 1 статьи 14.1, части 1 статьи 15.1, части 1 статьи 16.1 Федерального закона от 06.10.2003 № 131-ФЗ «Об общих принципах организации местного самоуправления в Российской Федерации», в части 6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году»).</w:t>
            </w:r>
          </w:p>
          <w:p w14:paraId="29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2.1.2.5. Обеспечить соблюдение требований бюджетного законодательства Российской Федерации, предусматривающих:</w:t>
            </w:r>
          </w:p>
          <w:p w14:paraId="2A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соблюдение требований к предельным значениям дефицита местного бюджета, установленных статьей 92.1 Бюджетного кодекса Российской Федерации;</w:t>
            </w:r>
          </w:p>
          <w:p w14:paraId="2B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соблюдение требований к предельному объему заимствований муниципального образования, установленных статьей 106 Бюджетного кодекса Российской Федерации, с учетом требований пункта 4 статьи 106 Бюджетного кодекса Российской Федерации и статьи 96 Бюджетного кодекса Российской Федерации;</w:t>
            </w:r>
          </w:p>
          <w:p w14:paraId="2C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соблюдение требований, установленных пунктом 5 статьи 107 Бюджетного кодекса Российской Федерации;</w:t>
            </w:r>
          </w:p>
          <w:p w14:paraId="2D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соблюдение требований, установленных статьей 111 Бюджетного кодекса Российской Федерации.</w:t>
            </w:r>
          </w:p>
          <w:p w14:paraId="2E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2.1.2.6. Не предоставлять муниципальные гарантии.</w:t>
            </w:r>
          </w:p>
          <w:p w14:paraId="2F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2.1.2.7. Обеспечить отсутствие по состоянию на 1-е число каждого месяца просроченной кредиторской задолженности бюджета муниципального образования, бюджетных и автономных учреждений муниципального образования, источником финансового обеспечения деятельности которых являются средства бюджета муниципального образования (за исключением иных источников финансирования), в части расходов на выплату заработной платы с начислениями, взносы по обязательному социальному страхованию, на выплаты денежного содержания и иные выплаты работникам, оплату коммунальных услуг, услуг связи, приобретаемых для муниципальных нужд продуктов питания, медикаментов, котельного и печного топлива, горюче-смазочных материалов, уплату налогов и сборов.</w:t>
            </w:r>
          </w:p>
          <w:p w14:paraId="30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2.1.2.8. Обеспечить неувеличение численности работников органов местного самоуправления муниципального образования, за исключением случаев, когда изменение штатной численности обусловлено изменениями федерального и регионального законодательства, а также нормативов штатной численности муниципальных служащих в исполнительно-распорядительных органах муниципальных образований в Ростовской области.</w:t>
            </w:r>
          </w:p>
          <w:p w14:paraId="31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2.1.2.9. Обеспечить отсутствие решений о повышении оплаты труда работников органов местного самоуправления муниципального образования на уровень, превышающий темпы и (или) сроки повышения оплаты труда работников органов государственной власти Ростовской области.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</w:p>
          <w:p w14:paraId="32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2.1.3.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Направлять в Министерство отчет об исполнении обязательств Получателя, предусмотренных:</w:t>
            </w:r>
          </w:p>
          <w:p w14:paraId="33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2.1.3.1. Подпунктами 2.1.1 и 2.1.2 пункта 2.1 раздела 2 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настоящего Соглашения, до 1 марта года, следующего за отчетным годом;</w:t>
            </w:r>
          </w:p>
          <w:p w14:paraId="34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2.1.3.2. Подпунктами 2.1.1.3, 2.1.1.5 пункта 2.1 и подпунктом 2.1.2.7 пункта 2.1.2 раздела 2 настоящего Соглашения, до 20-го числа месяца, следующего за отчетным кварталом, начиная с апреля 2024 года.</w:t>
            </w:r>
          </w:p>
          <w:p w14:paraId="35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2.2.</w:t>
            </w:r>
            <w:r>
              <w:rPr>
                <w:rFonts w:ascii="times new roman" w:hAnsi="times new roman"/>
                <w:color w:val="000000"/>
                <w:spacing w:val="0"/>
                <w:sz w:val="14"/>
              </w:rPr>
              <w:t>   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Министерство обязано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:</w:t>
            </w:r>
          </w:p>
          <w:p w14:paraId="36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2.2.1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. О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существлять контроль за исполнением настоящего Соглашения;</w:t>
            </w:r>
          </w:p>
          <w:p w14:paraId="37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2.2.2. Рассматривать обращения Получателя по вопросам проектов решений о бюджете муниципального образования и направлять согласования в течение 10 рабочих дней со дня их поступления в Министерство.</w:t>
            </w:r>
          </w:p>
          <w:p w14:paraId="38000000">
            <w:pPr>
              <w:spacing w:after="0" w:before="0"/>
              <w:ind/>
            </w:pPr>
          </w:p>
          <w:p w14:paraId="39000000">
            <w:pPr>
              <w:spacing w:after="0" w:before="0"/>
              <w:ind/>
            </w:pPr>
          </w:p>
          <w:p w14:paraId="3A000000">
            <w:pPr>
              <w:spacing w:after="0" w:before="0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3. Ответственность сторон</w:t>
            </w:r>
          </w:p>
          <w:p w14:paraId="3B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</w:p>
          <w:p w14:paraId="3C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3.1.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  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 случае невыполнения Получателем обязательств, предусмотренных настоящим Соглашением, применяются меры ответственности в соответствии с Постановлением.</w:t>
            </w:r>
          </w:p>
          <w:p w14:paraId="3D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3.2.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   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Получатель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 освобождается от ответственности за неисполнение или ненадлежащее исполнение обязательств, предусмотренных настоящим Соглашением в случаях, предусмотренных Постановлением.</w:t>
            </w:r>
          </w:p>
          <w:p w14:paraId="3E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</w:p>
          <w:p w14:paraId="3F000000">
            <w:pPr>
              <w:spacing w:after="0" w:before="0"/>
              <w:ind/>
            </w:pPr>
          </w:p>
          <w:p w14:paraId="40000000">
            <w:pPr>
              <w:spacing w:after="0" w:before="0"/>
              <w:ind/>
            </w:pPr>
          </w:p>
          <w:p w14:paraId="41000000">
            <w:pPr>
              <w:spacing w:after="0" w:before="0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4. Внесение изменений и дополнений в Соглашение</w:t>
            </w:r>
          </w:p>
          <w:p w14:paraId="42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</w:p>
          <w:p w14:paraId="43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и (или) в связи с изменением прогноза социально-экономического развития Российской Федерации на год предоставления дотации, очередной финансовый год и плановый период в настоящее Соглашение могут быть внесены изменения и дополнения путем заключения дополнительного соглашения, являющегося неотъемлемой частью настоящего Соглашения.</w:t>
            </w:r>
          </w:p>
          <w:p w14:paraId="44000000">
            <w:pPr>
              <w:spacing w:after="0" w:before="0"/>
              <w:ind/>
            </w:pPr>
          </w:p>
          <w:p w14:paraId="45000000">
            <w:pPr>
              <w:spacing w:after="0" w:before="0"/>
              <w:ind/>
            </w:pPr>
          </w:p>
          <w:p w14:paraId="46000000">
            <w:pPr>
              <w:spacing w:after="0" w:before="0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5. Срок действия Соглашения</w:t>
            </w:r>
          </w:p>
          <w:p w14:paraId="47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</w:p>
          <w:p w14:paraId="48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Настоящее Соглашение вступает в силу со 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дня его подписания Сторонами, но не раннее 1 января 2024 года и действует до полного выполнения Сторонами обязательств по Соглашению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.</w:t>
            </w:r>
          </w:p>
          <w:p w14:paraId="49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</w:p>
          <w:p w14:paraId="4A000000">
            <w:pPr>
              <w:spacing w:after="0" w:before="0"/>
              <w:ind/>
            </w:pPr>
          </w:p>
          <w:p w14:paraId="4B000000">
            <w:pPr>
              <w:spacing w:after="0" w:before="0"/>
              <w:ind/>
            </w:pPr>
          </w:p>
          <w:p w14:paraId="4C000000">
            <w:pPr>
              <w:spacing w:after="0" w:before="0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6. Разрешение споров</w:t>
            </w:r>
          </w:p>
          <w:p w14:paraId="4D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</w:p>
          <w:p w14:paraId="4E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      </w:r>
          </w:p>
          <w:p w14:paraId="4F000000">
            <w:pPr>
              <w:spacing w:after="0" w:before="0"/>
              <w:ind/>
            </w:pPr>
          </w:p>
          <w:p w14:paraId="50000000">
            <w:pPr>
              <w:spacing w:after="0" w:before="0"/>
              <w:ind/>
            </w:pPr>
          </w:p>
          <w:p w14:paraId="51000000">
            <w:pPr>
              <w:spacing w:after="0" w:before="0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7. Другие условия</w:t>
            </w:r>
          </w:p>
          <w:p w14:paraId="52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</w:p>
          <w:p w14:paraId="53000000">
            <w:pPr>
              <w:spacing w:after="0" w:before="0"/>
              <w:ind w:firstLine="700" w:left="0"/>
              <w:jc w:val="both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Настоящее Соглашение заключено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 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</w:p>
          <w:p w14:paraId="54000000">
            <w:pPr>
              <w:spacing w:after="0" w:before="0"/>
              <w:ind/>
            </w:pPr>
          </w:p>
          <w:p w14:paraId="55000000">
            <w:pPr>
              <w:spacing w:after="0" w:before="0"/>
              <w:ind/>
            </w:pPr>
          </w:p>
          <w:p w14:paraId="56000000">
            <w:pPr>
              <w:spacing w:after="0" w:before="0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8. Место нахождения, адрес</w:t>
            </w:r>
          </w:p>
          <w:p w14:paraId="57000000">
            <w:pPr>
              <w:spacing w:after="0" w:before="0"/>
              <w:ind w:firstLine="700" w:left="0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</w:p>
          <w:p w14:paraId="58000000">
            <w:pPr>
              <w:spacing w:after="0" w:before="0"/>
              <w:ind w:firstLine="700" w:left="0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Министерство:</w:t>
            </w:r>
          </w:p>
          <w:p w14:paraId="59000000">
            <w:pPr>
              <w:spacing w:after="0" w:before="0"/>
              <w:ind w:firstLine="700" w:left="0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министерство финансов Ростовской области,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344050 г. Ростов-на-Дону ул. Социалистическая, 112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.</w:t>
            </w:r>
          </w:p>
          <w:p w14:paraId="5A000000">
            <w:pPr>
              <w:spacing w:after="0" w:before="0"/>
              <w:ind w:firstLine="700" w:left="0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Получатель: </w:t>
            </w:r>
          </w:p>
          <w:p w14:paraId="5B000000">
            <w:pPr>
              <w:spacing w:after="0" w:before="0"/>
              <w:ind w:firstLine="700" w:left="0"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Администрация Кагальницкого сельского поселения,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346770, Ростовская область, Азовский район, с. Кагальник, ул. Ленина, д.56 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.</w:t>
            </w:r>
          </w:p>
          <w:p w14:paraId="5C000000">
            <w:pPr>
              <w:spacing w:after="0" w:before="0"/>
              <w:ind/>
            </w:pPr>
          </w:p>
          <w:p w14:paraId="5D000000">
            <w:pPr>
              <w:spacing w:after="0" w:before="0"/>
              <w:ind/>
            </w:pPr>
          </w:p>
          <w:p w14:paraId="5E000000">
            <w:pPr>
              <w:spacing w:after="0" w:before="0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9. Подписи сторон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</w:p>
          <w:p w14:paraId="5F000000"/>
          <w:tbl>
            <w:tblPr>
              <w:tblStyle w:val="Style_1"/>
              <w:tblInd w:type="dxa" w:w="0"/>
              <w:tblLayout w:type="fixed"/>
            </w:tblPr>
            <w:tblGrid>
              <w:gridCol w:w="5250"/>
              <w:gridCol w:w="5251"/>
            </w:tblGrid>
            <w:tr>
              <w:tc>
                <w:tcPr>
                  <w:tcW w:type="dxa" w:w="5250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top"/>
                </w:tcPr>
                <w:p w14:paraId="60000000">
                  <w:pPr>
                    <w:spacing w:after="0" w:before="0"/>
                    <w:ind/>
                    <w:jc w:val="center"/>
                  </w:pPr>
                  <w:r>
                    <w:rPr>
                      <w:rFonts w:ascii="times new roman" w:hAnsi="times new roman"/>
                      <w:b w:val="1"/>
                      <w:color w:val="000000"/>
                      <w:spacing w:val="0"/>
                      <w:sz w:val="28"/>
                    </w:rPr>
                    <w:t>от Министерства:</w:t>
                  </w:r>
                </w:p>
                <w:p w14:paraId="61000000">
                  <w:pPr>
                    <w:spacing w:after="0" w:before="0"/>
                    <w:ind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>Заместитель Губернатора Ростовской области - министр финансов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> </w:t>
                  </w:r>
                </w:p>
                <w:p w14:paraId="62000000">
                  <w:pPr>
                    <w:spacing w:after="0" w:before="0"/>
                    <w:ind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4"/>
                    </w:rPr>
                    <w:t> </w:t>
                  </w:r>
                </w:p>
                <w:p w14:paraId="63000000">
                  <w:pPr>
                    <w:spacing w:after="0" w:before="0"/>
                    <w:ind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>______________/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>Л. В.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 xml:space="preserve"> 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>Федотова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> </w:t>
                  </w:r>
                </w:p>
              </w:tc>
              <w:tc>
                <w:tcPr>
                  <w:tcW w:type="dxa" w:w="5251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top"/>
                </w:tcPr>
                <w:p w14:paraId="64000000">
                  <w:pPr>
                    <w:spacing w:after="0" w:before="0"/>
                    <w:ind/>
                    <w:jc w:val="center"/>
                  </w:pPr>
                  <w:r>
                    <w:rPr>
                      <w:rFonts w:ascii="times new roman" w:hAnsi="times new roman"/>
                      <w:b w:val="1"/>
                      <w:color w:val="000000"/>
                      <w:spacing w:val="0"/>
                      <w:sz w:val="28"/>
                    </w:rPr>
                    <w:t>от Получателя:</w:t>
                  </w:r>
                </w:p>
                <w:p w14:paraId="65000000">
                  <w:pPr>
                    <w:spacing w:after="0" w:before="0"/>
                    <w:ind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>Глава Администрации Кагальницкого сельского поселения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> </w:t>
                  </w:r>
                </w:p>
                <w:p w14:paraId="66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4"/>
                    </w:rPr>
                    <w:t> </w:t>
                  </w:r>
                </w:p>
                <w:p w14:paraId="67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>_____________/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>К. А.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 xml:space="preserve"> 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>Малерян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sz w:val="28"/>
                    </w:rPr>
                    <w:t>    </w:t>
                  </w:r>
                </w:p>
              </w:tc>
            </w:tr>
          </w:tbl>
          <w:p w14:paraId="68000000">
            <w:pPr>
              <w:spacing w:after="0" w:before="0"/>
              <w:ind/>
            </w:pPr>
          </w:p>
          <w:p w14:paraId="69000000">
            <w:pPr>
              <w:spacing w:after="0" w:before="0"/>
              <w:ind/>
            </w:pPr>
          </w:p>
          <w:tbl>
            <w:tblPr>
              <w:tblStyle w:val="Style_1"/>
              <w:tblInd w:type="dxa" w:w="0"/>
              <w:tblLayout w:type="fixed"/>
            </w:tblPr>
            <w:tblGrid>
              <w:gridCol w:w="3430"/>
              <w:gridCol w:w="3430"/>
              <w:gridCol w:w="3430"/>
            </w:tblGrid>
            <w:tr>
              <w:tc>
                <w:tcPr>
                  <w:tcW w:type="dxa" w:w="3430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top w:type="dxa" w:w="225"/>
                    <w:left w:type="dxa" w:w="225"/>
                    <w:bottom w:type="dxa" w:w="225"/>
                    <w:right w:type="dxa" w:w="225"/>
                  </w:tcMar>
                  <w:vAlign w:val="top"/>
                </w:tcPr>
                <w:p w14:paraId="6A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ДОКУМЕНТ ПОДПИСАН</w:t>
                  </w:r>
                </w:p>
                <w:p w14:paraId="6B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ЭЛЕКТРОННОЙ ПОДПИСЬЮ</w:t>
                  </w:r>
                </w:p>
                <w:p w14:paraId="6C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Серийный номер сертификата: 00F1D2943F3C6F3D4A329FEAAD3B8482EE</w:t>
                  </w:r>
                </w:p>
                <w:p w14:paraId="6D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Поставщик сертификата: Казначейство России</w:t>
                  </w:r>
                </w:p>
                <w:p w14:paraId="6E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Субъект сертификата: Федотова Лилия Вадимовна</w:t>
                  </w:r>
                </w:p>
                <w:p w14:paraId="6F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Действителен с: 05.04.2023 11:49</w:t>
                  </w:r>
                </w:p>
                <w:p w14:paraId="70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Действителен по: 28.06.2024 11:49</w:t>
                  </w:r>
                </w:p>
                <w:p w14:paraId="71000000">
                  <w:pPr>
                    <w:spacing w:after="0" w:before="0"/>
                    <w:ind/>
                  </w:pPr>
                </w:p>
              </w:tc>
              <w:tc>
                <w:tcPr>
                  <w:tcW w:type="dxa" w:w="3430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  <w:vAlign w:val="top"/>
                </w:tcPr>
                <w:p w14:paraId="72000000">
                  <w:pPr>
                    <w:spacing w:line="0" w:lineRule="auto"/>
                    <w:ind/>
                  </w:pPr>
                </w:p>
              </w:tc>
              <w:tc>
                <w:tcPr>
                  <w:tcW w:type="dxa" w:w="3430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top w:type="dxa" w:w="225"/>
                    <w:left w:type="dxa" w:w="225"/>
                    <w:bottom w:type="dxa" w:w="225"/>
                    <w:right w:type="dxa" w:w="225"/>
                  </w:tcMar>
                  <w:vAlign w:val="top"/>
                </w:tcPr>
                <w:p w14:paraId="73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ДОКУМЕНТ ПОДПИСАН</w:t>
                  </w:r>
                </w:p>
                <w:p w14:paraId="74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ЭЛЕКТРОННОЙ ПОДПИСЬЮ</w:t>
                  </w:r>
                </w:p>
                <w:p w14:paraId="75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Серийный номер сертификата: 778B3C460A008DCFDCDC1BBFDD92499B</w:t>
                  </w:r>
                </w:p>
                <w:p w14:paraId="76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Поставщик сертификата: Казначейство России</w:t>
                  </w:r>
                </w:p>
                <w:p w14:paraId="77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Субъект сертификата: Малерян Камо Артаваздович</w:t>
                  </w:r>
                </w:p>
                <w:p w14:paraId="78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Действителен с: 25.01.2023 11:51</w:t>
                  </w:r>
                </w:p>
                <w:p w14:paraId="79000000">
                  <w:pPr>
                    <w:spacing w:after="0" w:before="0"/>
                    <w:ind/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Действителен по: 19.04.2024 11:51</w:t>
                  </w:r>
                </w:p>
                <w:p w14:paraId="7A000000">
                  <w:pPr>
                    <w:spacing w:after="0" w:before="0"/>
                    <w:ind/>
                  </w:pPr>
                </w:p>
              </w:tc>
            </w:tr>
          </w:tbl>
          <w:p w14:paraId="7B000000">
            <w:pPr>
              <w:spacing w:line="0" w:lineRule="auto"/>
              <w:ind/>
            </w:pPr>
          </w:p>
        </w:tc>
      </w:tr>
    </w:tbl>
    <w:p w14:paraId="7C000000"/>
    <w:sectPr>
      <w:headerReference r:id="rId1" w:type="default"/>
      <w:footerReference r:id="rId2" w:type="default"/>
      <w:pgSz w:h="16837" w:orient="portrait" w:w="11905"/>
      <w:pgMar w:bottom="283" w:footer="0" w:header="283" w:left="907" w:right="283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</w:tblPr>
    <w:tblGrid>
      <w:gridCol w:w="10930"/>
    </w:tblGrid>
    <w:tr>
      <w:trPr>
        <w:trHeight w:hRule="atLeast" w:val="0"/>
      </w:trPr>
      <w:tc>
        <w:tcPr>
          <w:tcW w:type="dxa" w:w="10930"/>
        </w:tcPr>
        <w:p w14:paraId="03000000">
          <w:pPr>
            <w:spacing w:after="0" w:before="0" w:line="240" w:lineRule="auto"/>
            <w:ind/>
            <w:rPr>
              <w:rFonts w:ascii="Times New Roman" w:hAnsi="Times New Roman"/>
              <w:color w:val="000000"/>
              <w:spacing w:val="0"/>
              <w:sz w:val="20"/>
            </w:rPr>
          </w:pPr>
          <w:r>
            <w:rPr>
              <w:rFonts w:ascii="Times New Roman" w:hAnsi="Times New Roman"/>
              <w:color w:val="000000"/>
              <w:spacing w:val="0"/>
              <w:sz w:val="20"/>
            </w:rPr>
            <w:t xml:space="preserve"> </w:t>
          </w:r>
        </w:p>
        <w:p w14:paraId="04000000">
          <w:pPr>
            <w:spacing w:line="0" w:lineRule="auto"/>
            <w:ind/>
          </w:pP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tbl>
    <w:tblPr>
      <w:tblStyle w:val="Style_1"/>
      <w:tblLayout w:type="fixed"/>
    </w:tblPr>
    <w:tblGrid>
      <w:gridCol w:w="10930"/>
    </w:tblGrid>
    <w:tr>
      <w:trPr>
        <w:trHeight w:hRule="atLeast" w:val="283"/>
      </w:trPr>
      <w:tc>
        <w:tcPr>
          <w:tcW w:type="dxa" w:w="10930"/>
        </w:tcPr>
        <w:p w14:paraId="01000000">
          <w:pPr>
            <w:spacing w:after="0" w:before="0" w:line="240" w:lineRule="auto"/>
            <w:ind/>
            <w:jc w:val="center"/>
            <w:rPr>
              <w:rFonts w:ascii="Times New Roman" w:hAnsi="Times New Roman"/>
              <w:color w:val="000000"/>
              <w:spacing w:val="0"/>
              <w:sz w:val="24"/>
            </w:rPr>
          </w:pPr>
        </w:p>
        <w:p w14:paraId="02000000">
          <w:pPr>
            <w:spacing w:line="0" w:lineRule="auto"/>
            <w:ind/>
          </w:pPr>
        </w:p>
      </w:tc>
    </w:tr>
  </w:tbl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link w:val="Style_4_ch"/>
    <w:uiPriority w:val="39"/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2024-01-19T07:41:26Z</dcterms:modified>
</cp:coreProperties>
</file>