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Calibri" w:hAnsi="Calibri"/>
          <w:b w:val="1"/>
          <w:color w:val="000000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>АДМИНИСТРАЦИЯ КАГАЛЬНИЦКОГО СЕЛЬСКОГО ПОСЕЛЕНИЯ АЗОВСКОГО РАЙОНА РОСТОВСКОЙ ОБЛАСТИ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30.12.2022</w:t>
      </w:r>
      <w:r>
        <w:rPr>
          <w:rFonts w:ascii="Times New Roman" w:hAnsi="Times New Roman"/>
          <w:sz w:val="28"/>
        </w:rPr>
        <w:t xml:space="preserve"> г.       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№ </w:t>
      </w:r>
      <w:r>
        <w:rPr>
          <w:rFonts w:ascii="Times New Roman" w:hAnsi="Times New Roman"/>
          <w:sz w:val="28"/>
        </w:rPr>
        <w:t>172</w:t>
      </w:r>
      <w:r>
        <w:rPr>
          <w:rFonts w:ascii="Times New Roman" w:hAnsi="Times New Roman"/>
          <w:sz w:val="28"/>
        </w:rPr>
        <w:t xml:space="preserve">                                    с. Кагальник</w:t>
      </w: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муниципальной программы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«Охрана окружающей среды</w:t>
      </w:r>
      <w:r>
        <w:rPr>
          <w:rFonts w:ascii="Times New Roman" w:hAnsi="Times New Roman"/>
          <w:sz w:val="28"/>
        </w:rPr>
        <w:t xml:space="preserve"> и рационального 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природопользования</w:t>
      </w:r>
      <w:r>
        <w:rPr>
          <w:rFonts w:ascii="Times New Roman" w:hAnsi="Times New Roman"/>
          <w:sz w:val="28"/>
        </w:rPr>
        <w:t>»</w:t>
      </w:r>
    </w:p>
    <w:p w14:paraId="0E000000">
      <w:pPr>
        <w:pStyle w:val="Style_2"/>
        <w:rPr>
          <w:rFonts w:ascii="Times New Roman" w:hAnsi="Times New Roman"/>
          <w:sz w:val="28"/>
        </w:rPr>
      </w:pPr>
    </w:p>
    <w:p w14:paraId="0F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21.12.2022г. №41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27.12.2021г. №17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2022 год и плановый период 2023-2024 годов», Решением Собрания депутатов Кагальницкого сельского поселения Азовского района от 28.12.2022г. №44 «О бюджете Кагальницкого сельского поселения Азовского района на 2023 год и плановый период 2024-2025 годов»,</w:t>
      </w:r>
    </w:p>
    <w:p w14:paraId="1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2000000">
      <w:pPr>
        <w:pStyle w:val="Style_2"/>
        <w:rPr>
          <w:rFonts w:ascii="Times New Roman" w:hAnsi="Times New Roman"/>
          <w:sz w:val="28"/>
        </w:rPr>
      </w:pPr>
    </w:p>
    <w:p w14:paraId="13000000">
      <w:pPr>
        <w:pStyle w:val="Style_2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 xml:space="preserve">«Охрана окружающей среды и рационального природопользования» </w:t>
      </w:r>
      <w:r>
        <w:rPr>
          <w:rFonts w:ascii="Times New Roman" w:hAnsi="Times New Roman"/>
          <w:sz w:val="28"/>
        </w:rPr>
        <w:t xml:space="preserve"> внести следующие изменения:</w:t>
      </w:r>
    </w:p>
    <w:p w14:paraId="14000000">
      <w:pPr>
        <w:pStyle w:val="Style_2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5000000">
      <w:pPr>
        <w:pStyle w:val="Style_2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Общий объё</w:t>
      </w:r>
      <w:r>
        <w:rPr>
          <w:rFonts w:ascii="Times New Roman" w:hAnsi="Times New Roman"/>
          <w:sz w:val="28"/>
        </w:rPr>
        <w:t>м финансирования программы - 436,1</w:t>
      </w:r>
      <w:r>
        <w:rPr>
          <w:rFonts w:ascii="Times New Roman" w:hAnsi="Times New Roman"/>
          <w:sz w:val="28"/>
        </w:rPr>
        <w:t xml:space="preserve">  тыс. рублей, в том числе по годам:</w:t>
      </w:r>
    </w:p>
    <w:p w14:paraId="16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-2019год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33,0</w:t>
      </w:r>
      <w:r>
        <w:rPr>
          <w:rFonts w:ascii="Times New Roman" w:hAnsi="Times New Roman"/>
          <w:sz w:val="28"/>
        </w:rPr>
        <w:t xml:space="preserve"> тыс. руб;</w:t>
      </w:r>
    </w:p>
    <w:p w14:paraId="17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</w:t>
      </w:r>
      <w:r>
        <w:rPr>
          <w:rFonts w:ascii="Times New Roman" w:hAnsi="Times New Roman"/>
          <w:sz w:val="28"/>
        </w:rPr>
        <w:t xml:space="preserve">  - 35,6</w:t>
      </w:r>
      <w:r>
        <w:rPr>
          <w:rFonts w:ascii="Times New Roman" w:hAnsi="Times New Roman"/>
          <w:sz w:val="28"/>
        </w:rPr>
        <w:t xml:space="preserve"> тыс. руб;</w:t>
      </w:r>
    </w:p>
    <w:p w14:paraId="18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 - 35,6</w:t>
      </w:r>
      <w:r>
        <w:rPr>
          <w:rFonts w:ascii="Times New Roman" w:hAnsi="Times New Roman"/>
          <w:sz w:val="28"/>
        </w:rPr>
        <w:t xml:space="preserve"> тыс. руб;</w:t>
      </w:r>
    </w:p>
    <w:p w14:paraId="19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 .руб;</w:t>
      </w:r>
    </w:p>
    <w:p w14:paraId="1A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 - 38,1</w:t>
      </w:r>
      <w:r>
        <w:rPr>
          <w:rFonts w:ascii="Times New Roman" w:hAnsi="Times New Roman"/>
          <w:sz w:val="28"/>
        </w:rPr>
        <w:t xml:space="preserve"> тыс. руб;</w:t>
      </w:r>
    </w:p>
    <w:p w14:paraId="1B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1C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 - 38,1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0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1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 - 35,9</w:t>
      </w:r>
      <w:r>
        <w:rPr>
          <w:rFonts w:ascii="Times New Roman" w:hAnsi="Times New Roman"/>
          <w:sz w:val="28"/>
        </w:rPr>
        <w:t xml:space="preserve"> тыс. руб.</w:t>
      </w:r>
    </w:p>
    <w:p w14:paraId="22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подпрограммы» изложить в новой редакции:</w:t>
      </w:r>
    </w:p>
    <w:p w14:paraId="24000000">
      <w:pPr>
        <w:pStyle w:val="Style_2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финансирования подпрограммы в 2019- 2030 годах составит  </w:t>
      </w:r>
      <w:r>
        <w:rPr>
          <w:rFonts w:ascii="Times New Roman" w:hAnsi="Times New Roman"/>
          <w:sz w:val="28"/>
        </w:rPr>
        <w:t xml:space="preserve">за счет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>- 436,1</w:t>
      </w:r>
      <w:r>
        <w:rPr>
          <w:rFonts w:ascii="Times New Roman" w:hAnsi="Times New Roman"/>
          <w:sz w:val="28"/>
        </w:rPr>
        <w:t xml:space="preserve"> тыс. рублей, в том числе по годам:   </w:t>
      </w:r>
    </w:p>
    <w:p w14:paraId="25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</w:p>
    <w:p w14:paraId="26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33,0</w:t>
      </w:r>
      <w:r>
        <w:rPr>
          <w:rFonts w:ascii="Times New Roman" w:hAnsi="Times New Roman"/>
          <w:sz w:val="28"/>
        </w:rPr>
        <w:t xml:space="preserve"> тыс. руб;</w:t>
      </w:r>
    </w:p>
    <w:p w14:paraId="27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</w:t>
      </w:r>
      <w:r>
        <w:rPr>
          <w:rFonts w:ascii="Times New Roman" w:hAnsi="Times New Roman"/>
          <w:sz w:val="28"/>
        </w:rPr>
        <w:t xml:space="preserve">  - 35,6</w:t>
      </w:r>
      <w:r>
        <w:rPr>
          <w:rFonts w:ascii="Times New Roman" w:hAnsi="Times New Roman"/>
          <w:sz w:val="28"/>
        </w:rPr>
        <w:t xml:space="preserve"> тыс. руб;</w:t>
      </w:r>
    </w:p>
    <w:p w14:paraId="28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 - 35,6</w:t>
      </w:r>
      <w:r>
        <w:rPr>
          <w:rFonts w:ascii="Times New Roman" w:hAnsi="Times New Roman"/>
          <w:sz w:val="28"/>
        </w:rPr>
        <w:t xml:space="preserve"> тыс. руб;</w:t>
      </w:r>
    </w:p>
    <w:p w14:paraId="29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 .руб;</w:t>
      </w:r>
    </w:p>
    <w:p w14:paraId="2A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-2023год  - 38,1</w:t>
      </w:r>
      <w:r>
        <w:rPr>
          <w:rFonts w:ascii="Times New Roman" w:hAnsi="Times New Roman"/>
          <w:sz w:val="28"/>
        </w:rPr>
        <w:t xml:space="preserve"> тыс. руб;</w:t>
      </w:r>
    </w:p>
    <w:p w14:paraId="2B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2C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-2025год  - 38,1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0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1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 - 35,9</w:t>
      </w:r>
      <w:r>
        <w:rPr>
          <w:rFonts w:ascii="Times New Roman" w:hAnsi="Times New Roman"/>
          <w:sz w:val="28"/>
        </w:rPr>
        <w:t xml:space="preserve"> тыс. руб.</w:t>
      </w:r>
    </w:p>
    <w:p w14:paraId="32000000">
      <w:pPr>
        <w:pStyle w:val="Style_2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14:paraId="33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138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</w:t>
      </w:r>
    </w:p>
    <w:p w14:paraId="36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Объём финансового обеспечения реализации муниципальной программы составляет- </w:t>
      </w:r>
      <w:r>
        <w:rPr>
          <w:rFonts w:ascii="Times New Roman" w:hAnsi="Times New Roman"/>
          <w:sz w:val="28"/>
        </w:rPr>
        <w:t>436,1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за счет средств местного бюджета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436,1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3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>
        <w:rPr>
          <w:rFonts w:ascii="Times New Roman" w:hAnsi="Times New Roman"/>
          <w:sz w:val="28"/>
        </w:rPr>
        <w:t>едены в приложении №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7.3</w:t>
      </w:r>
      <w:r>
        <w:rPr>
          <w:rFonts w:ascii="Times New Roman" w:hAnsi="Times New Roman"/>
          <w:b w:val="1"/>
          <w:sz w:val="28"/>
        </w:rPr>
        <w:t>. Информация</w:t>
      </w:r>
      <w:r>
        <w:rPr>
          <w:rFonts w:ascii="Times New Roman" w:hAnsi="Times New Roman"/>
          <w:b w:val="1"/>
          <w:sz w:val="28"/>
        </w:rPr>
        <w:t xml:space="preserve"> по ресурсно</w:t>
      </w:r>
      <w:r>
        <w:rPr>
          <w:rFonts w:ascii="Times New Roman" w:hAnsi="Times New Roman"/>
          <w:b w:val="1"/>
          <w:sz w:val="28"/>
        </w:rPr>
        <w:t>му обеспечению</w:t>
      </w:r>
    </w:p>
    <w:p w14:paraId="3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</w:t>
      </w:r>
      <w:r>
        <w:rPr>
          <w:rFonts w:ascii="Times New Roman" w:hAnsi="Times New Roman"/>
          <w:b w:val="1"/>
          <w:sz w:val="28"/>
        </w:rPr>
        <w:t>граммы</w:t>
      </w:r>
      <w:r>
        <w:rPr>
          <w:rFonts w:ascii="Times New Roman" w:hAnsi="Times New Roman"/>
          <w:b w:val="1"/>
          <w:sz w:val="28"/>
        </w:rPr>
        <w:t xml:space="preserve">  «Охрана окружающей среды и рационального природопользования»</w:t>
      </w:r>
    </w:p>
    <w:p w14:paraId="3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Финансирование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«Охрана окружающей среды и рационального природопользования»</w:t>
      </w:r>
      <w:r>
        <w:rPr>
          <w:rFonts w:ascii="Times New Roman" w:hAnsi="Times New Roman"/>
          <w:sz w:val="28"/>
        </w:rPr>
        <w:t xml:space="preserve"> осуществляется за счет средств местного бюджета. Объем финансирования реализации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мероприятий всего </w:t>
      </w:r>
      <w:r>
        <w:rPr>
          <w:rFonts w:ascii="Times New Roman" w:hAnsi="Times New Roman"/>
          <w:sz w:val="28"/>
        </w:rPr>
        <w:t>составляет 436,1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за счет местного бюджета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436,1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3E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14:paraId="3F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0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4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2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43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44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45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>Малерян</w:t>
      </w:r>
    </w:p>
    <w:p w14:paraId="46000000">
      <w:pPr>
        <w:sectPr>
          <w:footerReference r:id="rId1" w:type="default"/>
          <w:pgSz w:h="16838" w:orient="portrait" w:w="11906"/>
          <w:pgMar w:bottom="722" w:footer="720" w:gutter="0" w:header="720" w:left="1701" w:right="991" w:top="850"/>
        </w:sectPr>
      </w:pPr>
    </w:p>
    <w:p w14:paraId="47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</w:p>
    <w:p w14:paraId="48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Приложение к постановлению от 30.12.2022г .№172 </w:t>
      </w:r>
      <w:r>
        <w:rPr>
          <w:rStyle w:val="Style_2_ch"/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49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  25.10.2018 г. №138</w:t>
      </w:r>
    </w:p>
    <w:p w14:paraId="4A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Об утверждении муниципальной программы</w:t>
      </w:r>
    </w:p>
    <w:p w14:paraId="4B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Style w:val="Style_2_ch"/>
          <w:rFonts w:ascii="Times New Roman" w:hAnsi="Times New Roman"/>
          <w:sz w:val="24"/>
        </w:rPr>
        <w:t>»</w:t>
      </w:r>
    </w:p>
    <w:p w14:paraId="4C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4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4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4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50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51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52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53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5"/>
        <w:gridCol w:w="1947"/>
        <w:gridCol w:w="1678"/>
        <w:gridCol w:w="557"/>
        <w:gridCol w:w="696"/>
        <w:gridCol w:w="1173"/>
        <w:gridCol w:w="442"/>
        <w:gridCol w:w="649"/>
        <w:gridCol w:w="753"/>
        <w:gridCol w:w="694"/>
        <w:gridCol w:w="694"/>
        <w:gridCol w:w="693"/>
        <w:gridCol w:w="693"/>
        <w:gridCol w:w="695"/>
        <w:gridCol w:w="693"/>
        <w:gridCol w:w="695"/>
        <w:gridCol w:w="696"/>
        <w:gridCol w:w="692"/>
        <w:gridCol w:w="697"/>
        <w:gridCol w:w="686"/>
      </w:tblGrid>
      <w:tr>
        <w:trPr>
          <w:tblHeader/>
        </w:trPr>
        <w:tc>
          <w:tcPr>
            <w:tcW w:type="dxa" w:w="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5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8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38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436,1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  <w:tr>
        <w:trPr>
          <w:trHeight w:hRule="atLeast" w:val="1494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96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436,1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  <w:tr>
        <w:trPr>
          <w:trHeight w:hRule="atLeast" w:val="1494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1210028340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436,1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</w:tbl>
    <w:p w14:paraId="B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B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C0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14:paraId="C1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C2000000">
      <w:pPr>
        <w:pStyle w:val="Style_2"/>
        <w:rPr>
          <w:rFonts w:ascii="Times New Roman" w:hAnsi="Times New Roman"/>
          <w:sz w:val="24"/>
        </w:rPr>
      </w:pPr>
    </w:p>
    <w:p w14:paraId="C3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C5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C6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4"/>
        <w:gridCol w:w="1690"/>
        <w:gridCol w:w="1267"/>
        <w:gridCol w:w="985"/>
        <w:gridCol w:w="845"/>
        <w:gridCol w:w="845"/>
        <w:gridCol w:w="844"/>
        <w:gridCol w:w="985"/>
        <w:gridCol w:w="845"/>
        <w:gridCol w:w="844"/>
        <w:gridCol w:w="845"/>
        <w:gridCol w:w="844"/>
        <w:gridCol w:w="845"/>
        <w:gridCol w:w="985"/>
        <w:gridCol w:w="844"/>
      </w:tblGrid>
      <w:tr>
        <w:trPr>
          <w:trHeight w:hRule="atLeast" w:val="195"/>
        </w:trPr>
        <w:tc>
          <w:tcPr>
            <w:tcW w:type="dxa" w:w="2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56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C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D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E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0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1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2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3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4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6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D7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8"/>
        <w:gridCol w:w="1693"/>
        <w:gridCol w:w="1324"/>
        <w:gridCol w:w="872"/>
        <w:gridCol w:w="907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436,1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c>
          <w:tcPr>
            <w:tcW w:type="dxa" w:w="2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436,1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rPr>
          <w:trHeight w:hRule="atLeast" w:val="240"/>
        </w:trPr>
        <w:tc>
          <w:tcPr>
            <w:tcW w:type="dxa" w:w="2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436,1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rPr>
          <w:trHeight w:hRule="atLeast" w:val="870"/>
        </w:trPr>
        <w:tc>
          <w:tcPr>
            <w:tcW w:type="dxa" w:w="2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436,1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Style w:val="Style_4_ch"/>
                <w:rFonts w:ascii="Times New Roman" w:hAnsi="Times New Roman"/>
                <w:spacing w:val="-10"/>
              </w:rPr>
              <w:t xml:space="preserve">38,1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</w:tbl>
    <w:p w14:paraId="2101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22010000">
      <w:pPr>
        <w:pStyle w:val="Style_2"/>
        <w:rPr>
          <w:rFonts w:ascii="Times New Roman" w:hAnsi="Times New Roman"/>
          <w:sz w:val="24"/>
        </w:rPr>
      </w:pPr>
    </w:p>
    <w:p w14:paraId="23010000">
      <w:pPr>
        <w:pStyle w:val="Style_2"/>
        <w:rPr>
          <w:rFonts w:ascii="Times New Roman" w:hAnsi="Times New Roman"/>
          <w:sz w:val="24"/>
        </w:rPr>
      </w:pPr>
    </w:p>
    <w:p w14:paraId="24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426" w:footer="708" w:gutter="0" w:header="708" w:left="709" w:right="53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alloon Text"/>
    <w:basedOn w:val="Style_4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4_ch"/>
    <w:link w:val="Style_10"/>
    <w:rPr>
      <w:rFonts w:ascii="Tahoma" w:hAnsi="Tahoma"/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1"/>
    <w:link w:val="Style_15_ch"/>
    <w:rPr>
      <w:color w:themeColor="hyperlink" w:val="0000FF"/>
      <w:u w:val="single"/>
    </w:rPr>
  </w:style>
  <w:style w:styleId="Style_15_ch" w:type="character">
    <w:name w:val="Hyperlink"/>
    <w:basedOn w:val="Style_11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Normal (Web)"/>
    <w:basedOn w:val="Style_4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Normal (Web)"/>
    <w:basedOn w:val="Style_4_ch"/>
    <w:link w:val="Style_18"/>
    <w:rPr>
      <w:rFonts w:ascii="Times New Roman" w:hAnsi="Times New Roman"/>
      <w:sz w:val="24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2023-02-15T13:29:51Z</dcterms:modified>
</cp:coreProperties>
</file>