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rFonts w:ascii="Times New Roman" w:hAnsi="Times New Roman"/>
          <w:sz w:val="28"/>
        </w:rPr>
      </w:pPr>
      <w:r>
        <w:rPr>
          <w:rFonts w:ascii="Times New Roman" w:hAnsi="Times New Roman"/>
          <w:b w:val="1"/>
          <w:sz w:val="28"/>
        </w:rPr>
        <w:t>АДМИНИСТРАЦИЯ</w:t>
      </w:r>
    </w:p>
    <w:p w14:paraId="04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5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6000000">
      <w:pPr>
        <w:pStyle w:val="Style_2"/>
        <w:ind/>
        <w:jc w:val="center"/>
        <w:rPr>
          <w:rFonts w:ascii="Times New Roman" w:hAnsi="Times New Roman"/>
          <w:b w:val="1"/>
          <w:sz w:val="28"/>
        </w:rPr>
      </w:pPr>
    </w:p>
    <w:p w14:paraId="07000000">
      <w:pPr>
        <w:pStyle w:val="Style_2"/>
        <w:ind/>
        <w:jc w:val="center"/>
        <w:rPr>
          <w:rFonts w:ascii="Times New Roman" w:hAnsi="Times New Roman"/>
          <w:b w:val="1"/>
          <w:sz w:val="28"/>
        </w:rPr>
      </w:pPr>
      <w:r>
        <w:rPr>
          <w:rFonts w:ascii="Times New Roman" w:hAnsi="Times New Roman"/>
          <w:b w:val="1"/>
          <w:sz w:val="28"/>
        </w:rPr>
        <w:t>ПОСТАНОВЛЕНИЕ</w:t>
      </w:r>
    </w:p>
    <w:p w14:paraId="08000000">
      <w:pPr>
        <w:pStyle w:val="Style_2"/>
        <w:rPr>
          <w:rFonts w:ascii="Times New Roman" w:hAnsi="Times New Roman"/>
          <w:b w:val="1"/>
          <w:sz w:val="28"/>
        </w:rPr>
      </w:pPr>
    </w:p>
    <w:p w14:paraId="09000000">
      <w:pPr>
        <w:pStyle w:val="Style_2"/>
        <w:rPr>
          <w:rFonts w:ascii="Times New Roman" w:hAnsi="Times New Roman"/>
          <w:sz w:val="28"/>
        </w:rPr>
      </w:pPr>
      <w:r>
        <w:rPr>
          <w:rFonts w:ascii="Times New Roman" w:hAnsi="Times New Roman"/>
          <w:sz w:val="28"/>
        </w:rPr>
        <w:t>«14» ноября 2023г.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157</w:t>
      </w:r>
      <w:r>
        <w:rPr>
          <w:rFonts w:ascii="Times New Roman" w:hAnsi="Times New Roman"/>
          <w:sz w:val="28"/>
        </w:rPr>
        <w:t xml:space="preserve">                        </w:t>
      </w:r>
      <w:r>
        <w:rPr>
          <w:rFonts w:ascii="Times New Roman" w:hAnsi="Times New Roman"/>
          <w:sz w:val="28"/>
        </w:rPr>
        <w:t xml:space="preserve">             с. Кагальник</w:t>
      </w:r>
    </w:p>
    <w:p w14:paraId="0A000000">
      <w:pPr>
        <w:pStyle w:val="Style_2"/>
        <w:rPr>
          <w:rFonts w:ascii="Times New Roman" w:hAnsi="Times New Roman"/>
          <w:sz w:val="28"/>
        </w:rPr>
      </w:pPr>
    </w:p>
    <w:p w14:paraId="0B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C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D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0E000000">
      <w:pPr>
        <w:pStyle w:val="Style_2"/>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0F000000">
      <w:pPr>
        <w:pStyle w:val="Style_2"/>
        <w:rPr>
          <w:rFonts w:ascii="Times New Roman" w:hAnsi="Times New Roman"/>
          <w:sz w:val="28"/>
        </w:rPr>
      </w:pPr>
      <w:r>
        <w:rPr>
          <w:rFonts w:ascii="Times New Roman" w:hAnsi="Times New Roman"/>
          <w:sz w:val="28"/>
        </w:rPr>
        <w:t>«Обеспечение качественными жилищно-</w:t>
      </w:r>
    </w:p>
    <w:p w14:paraId="10000000">
      <w:pPr>
        <w:pStyle w:val="Style_2"/>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1000000">
      <w:pPr>
        <w:pStyle w:val="Style_2"/>
        <w:rPr>
          <w:rFonts w:ascii="Times New Roman" w:hAnsi="Times New Roman"/>
          <w:sz w:val="28"/>
        </w:rPr>
      </w:pPr>
    </w:p>
    <w:p w14:paraId="12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от 21.12.2022г. №41 «О внесении изменений в Решение Собрания депутатов </w:t>
      </w:r>
      <w:r>
        <w:rPr>
          <w:rFonts w:ascii="Times New Roman" w:hAnsi="Times New Roman"/>
          <w:sz w:val="28"/>
        </w:rPr>
        <w:t>от 27.12.2021г. №17</w:t>
      </w:r>
      <w:r>
        <w:rPr>
          <w:rFonts w:ascii="Times New Roman" w:hAnsi="Times New Roman"/>
          <w:sz w:val="28"/>
        </w:rPr>
        <w:t xml:space="preserve"> «О бюджете Кагальницкого сельского поселения Азовского района на 2022 год и плановый период 2023-2024 годов», Решением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r>
        <w:rPr>
          <w:rFonts w:ascii="Times New Roman" w:hAnsi="Times New Roman"/>
          <w:sz w:val="28"/>
        </w:rPr>
        <w:t xml:space="preserve"> Решением Собрания депутатов Кагальницкого сельского поселения Азовского района от 13.11.2023 №62 «О внесении изменений в решение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p>
    <w:p w14:paraId="13000000">
      <w:pPr>
        <w:pStyle w:val="Style_2"/>
        <w:ind w:firstLine="708" w:left="0"/>
        <w:jc w:val="both"/>
        <w:rPr>
          <w:rFonts w:ascii="Times New Roman" w:hAnsi="Times New Roman"/>
          <w:sz w:val="28"/>
        </w:rPr>
      </w:pPr>
    </w:p>
    <w:p w14:paraId="14000000">
      <w:pPr>
        <w:ind w:firstLine="567" w:left="0"/>
        <w:jc w:val="both"/>
        <w:rPr>
          <w:sz w:val="28"/>
        </w:rPr>
      </w:pPr>
    </w:p>
    <w:p w14:paraId="15000000">
      <w:pPr>
        <w:ind/>
        <w:jc w:val="center"/>
        <w:rPr>
          <w:sz w:val="28"/>
        </w:rPr>
      </w:pPr>
      <w:r>
        <w:rPr>
          <w:sz w:val="28"/>
        </w:rPr>
        <w:t>ПОСТАНОВЛЯЮ:</w:t>
      </w:r>
    </w:p>
    <w:p w14:paraId="16000000">
      <w:pPr>
        <w:pStyle w:val="Style_2"/>
        <w:ind/>
        <w:jc w:val="both"/>
        <w:rPr>
          <w:rFonts w:ascii="Times New Roman" w:hAnsi="Times New Roman"/>
          <w:b w:val="1"/>
          <w:sz w:val="28"/>
        </w:rPr>
      </w:pPr>
    </w:p>
    <w:p w14:paraId="17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8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9000000">
      <w:pPr>
        <w:rPr>
          <w:sz w:val="28"/>
        </w:rPr>
      </w:pPr>
    </w:p>
    <w:tbl>
      <w:tblPr>
        <w:tblStyle w:val="Style_3"/>
        <w:tblLayout w:type="fixed"/>
      </w:tblPr>
      <w:tblGrid>
        <w:gridCol w:w="2108"/>
        <w:gridCol w:w="298"/>
        <w:gridCol w:w="6808"/>
      </w:tblGrid>
      <w:tr>
        <w:tc>
          <w:tcPr>
            <w:tcW w:type="dxa" w:w="2108"/>
            <w:shd w:fill="auto" w:val="clear"/>
          </w:tcPr>
          <w:p w14:paraId="1A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298"/>
            <w:shd w:fill="auto" w:val="clear"/>
          </w:tcPr>
          <w:p w14:paraId="1B000000">
            <w:pPr>
              <w:spacing w:line="280" w:lineRule="exact"/>
              <w:ind/>
              <w:jc w:val="both"/>
              <w:rPr>
                <w:sz w:val="28"/>
              </w:rPr>
            </w:pPr>
            <w:r>
              <w:rPr>
                <w:sz w:val="28"/>
              </w:rPr>
              <w:t xml:space="preserve"> </w:t>
            </w:r>
          </w:p>
        </w:tc>
        <w:tc>
          <w:tcPr>
            <w:tcW w:type="dxa" w:w="6808"/>
            <w:shd w:fill="auto" w:val="clear"/>
          </w:tcPr>
          <w:p w14:paraId="1C000000">
            <w:pPr>
              <w:spacing w:line="280" w:lineRule="exact"/>
              <w:ind/>
              <w:jc w:val="both"/>
              <w:rPr>
                <w:sz w:val="28"/>
              </w:rPr>
            </w:pPr>
            <w:r>
              <w:rPr>
                <w:sz w:val="28"/>
              </w:rPr>
              <w:t xml:space="preserve">Общий объем финансирования </w:t>
            </w:r>
            <w:r>
              <w:rPr>
                <w:sz w:val="28"/>
              </w:rPr>
              <w:t>3 785,5</w:t>
            </w:r>
            <w:r>
              <w:rPr>
                <w:sz w:val="28"/>
              </w:rPr>
              <w:t xml:space="preserve"> </w:t>
            </w:r>
            <w:r>
              <w:rPr>
                <w:sz w:val="28"/>
              </w:rPr>
              <w:t>тыс. рублей, в том числе</w:t>
            </w:r>
            <w:r>
              <w:rPr>
                <w:sz w:val="28"/>
              </w:rPr>
              <w:t xml:space="preserve"> по годам:</w:t>
            </w:r>
          </w:p>
          <w:p w14:paraId="1D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2 993,9</w:t>
            </w:r>
            <w:r>
              <w:rPr>
                <w:sz w:val="28"/>
              </w:rPr>
              <w:t xml:space="preserve"> </w:t>
            </w:r>
            <w:r>
              <w:rPr>
                <w:sz w:val="28"/>
              </w:rPr>
              <w:t>тыс. рублей;</w:t>
            </w:r>
          </w:p>
          <w:p w14:paraId="1E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1F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0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1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121,7</w:t>
            </w:r>
            <w:r>
              <w:rPr>
                <w:sz w:val="28"/>
              </w:rPr>
              <w:t xml:space="preserve"> </w:t>
            </w:r>
            <w:r>
              <w:rPr>
                <w:sz w:val="28"/>
              </w:rPr>
              <w:t>тыс. рублей;</w:t>
            </w:r>
          </w:p>
          <w:p w14:paraId="22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23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24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7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8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9000000">
            <w:pPr>
              <w:spacing w:line="280" w:lineRule="exact"/>
              <w:ind/>
              <w:jc w:val="both"/>
              <w:rPr>
                <w:sz w:val="28"/>
              </w:rPr>
            </w:pPr>
          </w:p>
          <w:p w14:paraId="2A000000">
            <w:pPr>
              <w:spacing w:line="280" w:lineRule="exact"/>
              <w:ind/>
              <w:jc w:val="both"/>
              <w:rPr>
                <w:sz w:val="28"/>
              </w:rPr>
            </w:pPr>
            <w:r>
              <w:rPr>
                <w:sz w:val="28"/>
              </w:rPr>
              <w:t xml:space="preserve">    в том числе из местного бюджета –</w:t>
            </w:r>
            <w:r>
              <w:rPr>
                <w:sz w:val="28"/>
              </w:rPr>
              <w:t xml:space="preserve"> 2 425,5</w:t>
            </w:r>
            <w:r>
              <w:rPr>
                <w:sz w:val="28"/>
              </w:rPr>
              <w:t xml:space="preserve"> </w:t>
            </w:r>
            <w:r>
              <w:rPr>
                <w:sz w:val="28"/>
              </w:rPr>
              <w:t>тыс.</w:t>
            </w:r>
            <w:r>
              <w:rPr>
                <w:sz w:val="28"/>
              </w:rPr>
              <w:t xml:space="preserve"> </w:t>
            </w:r>
            <w:r>
              <w:rPr>
                <w:sz w:val="28"/>
              </w:rPr>
              <w:t>руб.</w:t>
            </w:r>
            <w:r>
              <w:rPr>
                <w:sz w:val="28"/>
              </w:rPr>
              <w:t>:</w:t>
            </w:r>
          </w:p>
          <w:p w14:paraId="2B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1 633,9</w:t>
            </w:r>
            <w:r>
              <w:rPr>
                <w:sz w:val="28"/>
              </w:rPr>
              <w:t xml:space="preserve"> </w:t>
            </w:r>
            <w:r>
              <w:rPr>
                <w:sz w:val="28"/>
              </w:rPr>
              <w:t>тыс. рублей;</w:t>
            </w:r>
          </w:p>
          <w:p w14:paraId="2C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D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E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F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121,7</w:t>
            </w:r>
            <w:r>
              <w:rPr>
                <w:sz w:val="28"/>
              </w:rPr>
              <w:t xml:space="preserve"> </w:t>
            </w:r>
            <w:r>
              <w:rPr>
                <w:sz w:val="28"/>
              </w:rPr>
              <w:t>тыс. рублей;</w:t>
            </w:r>
          </w:p>
          <w:p w14:paraId="30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31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32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33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34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35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36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37000000">
            <w:pPr>
              <w:spacing w:line="280" w:lineRule="exact"/>
              <w:ind w:firstLine="284" w:left="0"/>
              <w:jc w:val="both"/>
              <w:rPr>
                <w:sz w:val="28"/>
              </w:rPr>
            </w:pPr>
          </w:p>
          <w:p w14:paraId="38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39000000">
            <w:pPr>
              <w:spacing w:line="280" w:lineRule="exact"/>
              <w:ind w:firstLine="284" w:left="0"/>
              <w:jc w:val="both"/>
              <w:rPr>
                <w:sz w:val="28"/>
              </w:rPr>
            </w:pPr>
            <w:r>
              <w:rPr>
                <w:sz w:val="28"/>
              </w:rPr>
              <w:t xml:space="preserve">в 2019 году – </w:t>
            </w:r>
            <w:r>
              <w:rPr>
                <w:sz w:val="28"/>
              </w:rPr>
              <w:t>1 360,0</w:t>
            </w:r>
            <w:r>
              <w:rPr>
                <w:sz w:val="28"/>
              </w:rPr>
              <w:t xml:space="preserve"> тыс.</w:t>
            </w:r>
            <w:r>
              <w:rPr>
                <w:sz w:val="28"/>
              </w:rPr>
              <w:t xml:space="preserve"> </w:t>
            </w:r>
            <w:r>
              <w:rPr>
                <w:sz w:val="28"/>
              </w:rPr>
              <w:t>рублей</w:t>
            </w:r>
            <w:r>
              <w:rPr>
                <w:sz w:val="28"/>
              </w:rPr>
              <w:t>.</w:t>
            </w:r>
          </w:p>
        </w:tc>
      </w:tr>
    </w:tbl>
    <w:p w14:paraId="3A000000">
      <w:pPr>
        <w:spacing w:line="280" w:lineRule="exact"/>
        <w:ind/>
        <w:rPr>
          <w:sz w:val="28"/>
        </w:rPr>
      </w:pPr>
    </w:p>
    <w:p w14:paraId="3B000000">
      <w:pPr>
        <w:spacing w:line="280" w:lineRule="exact"/>
        <w:ind/>
        <w:rPr>
          <w:sz w:val="28"/>
        </w:rPr>
      </w:pPr>
    </w:p>
    <w:p w14:paraId="3C000000">
      <w:pPr>
        <w:pStyle w:val="Style_2"/>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D000000">
      <w:pPr>
        <w:spacing w:line="280" w:lineRule="exact"/>
        <w:ind/>
        <w:rPr>
          <w:sz w:val="28"/>
        </w:rPr>
      </w:pPr>
    </w:p>
    <w:tbl>
      <w:tblPr>
        <w:tblStyle w:val="Style_3"/>
        <w:tblLayout w:type="fixed"/>
        <w:tblCellMar>
          <w:left w:type="dxa" w:w="57"/>
          <w:bottom w:type="dxa" w:w="45"/>
          <w:right w:type="dxa" w:w="57"/>
        </w:tblCellMar>
      </w:tblPr>
      <w:tblGrid>
        <w:gridCol w:w="2558"/>
        <w:gridCol w:w="400"/>
        <w:gridCol w:w="6256"/>
      </w:tblGrid>
      <w:tr>
        <w:tc>
          <w:tcPr>
            <w:tcW w:type="dxa" w:w="2558"/>
            <w:tcMar>
              <w:top w:type="dxa" w:w="0"/>
              <w:left w:type="dxa" w:w="57"/>
              <w:bottom w:type="dxa" w:w="0"/>
              <w:right w:type="dxa" w:w="57"/>
            </w:tcMar>
          </w:tcPr>
          <w:p w14:paraId="3E000000">
            <w:pPr>
              <w:spacing w:line="280" w:lineRule="exact"/>
              <w:ind/>
              <w:rPr>
                <w:sz w:val="28"/>
              </w:rPr>
            </w:pPr>
            <w:r>
              <w:rPr>
                <w:sz w:val="28"/>
              </w:rPr>
              <w:t>Р</w:t>
            </w:r>
            <w:r>
              <w:rPr>
                <w:sz w:val="28"/>
              </w:rPr>
              <w:t>есурсное обеспечение подпрограммы</w:t>
            </w:r>
          </w:p>
        </w:tc>
        <w:tc>
          <w:tcPr>
            <w:tcW w:type="dxa" w:w="400"/>
            <w:tcMar>
              <w:top w:type="dxa" w:w="0"/>
              <w:left w:type="dxa" w:w="57"/>
              <w:bottom w:type="dxa" w:w="0"/>
              <w:right w:type="dxa" w:w="57"/>
            </w:tcMar>
          </w:tcPr>
          <w:p w14:paraId="3F000000">
            <w:pPr>
              <w:spacing w:line="280" w:lineRule="exact"/>
              <w:ind/>
              <w:rPr>
                <w:sz w:val="28"/>
              </w:rPr>
            </w:pPr>
            <w:r>
              <w:rPr>
                <w:sz w:val="28"/>
              </w:rPr>
              <w:t xml:space="preserve"> </w:t>
            </w:r>
          </w:p>
        </w:tc>
        <w:tc>
          <w:tcPr>
            <w:tcW w:type="dxa" w:w="6256"/>
            <w:tcMar>
              <w:top w:type="dxa" w:w="0"/>
              <w:left w:type="dxa" w:w="57"/>
              <w:bottom w:type="dxa" w:w="0"/>
              <w:right w:type="dxa" w:w="57"/>
            </w:tcMar>
          </w:tcPr>
          <w:p w14:paraId="40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662,3</w:t>
            </w:r>
            <w:r>
              <w:rPr>
                <w:sz w:val="28"/>
              </w:rPr>
              <w:t xml:space="preserve"> </w:t>
            </w:r>
            <w:r>
              <w:rPr>
                <w:sz w:val="28"/>
              </w:rPr>
              <w:t xml:space="preserve">тыс. рублей, в том числе: </w:t>
            </w:r>
          </w:p>
          <w:p w14:paraId="41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2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3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4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5000000">
            <w:pPr>
              <w:spacing w:line="280" w:lineRule="exact"/>
              <w:ind w:firstLine="284" w:left="0"/>
              <w:jc w:val="both"/>
              <w:rPr>
                <w:sz w:val="28"/>
              </w:rPr>
            </w:pPr>
            <w:r>
              <w:rPr>
                <w:sz w:val="28"/>
              </w:rPr>
              <w:t>в 20</w:t>
            </w:r>
            <w:r>
              <w:rPr>
                <w:sz w:val="28"/>
              </w:rPr>
              <w:t>23</w:t>
            </w:r>
            <w:r>
              <w:rPr>
                <w:sz w:val="28"/>
              </w:rPr>
              <w:t xml:space="preserve"> году - </w:t>
            </w:r>
            <w:r>
              <w:rPr>
                <w:sz w:val="28"/>
              </w:rPr>
              <w:t>74,9</w:t>
            </w:r>
            <w:r>
              <w:rPr>
                <w:sz w:val="28"/>
              </w:rPr>
              <w:t xml:space="preserve"> тыс. рублей;</w:t>
            </w:r>
          </w:p>
          <w:p w14:paraId="46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47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48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49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A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C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D000000">
            <w:pPr>
              <w:spacing w:line="280" w:lineRule="exact"/>
              <w:ind w:firstLine="284" w:left="0"/>
              <w:jc w:val="both"/>
              <w:rPr>
                <w:sz w:val="28"/>
              </w:rPr>
            </w:pPr>
          </w:p>
          <w:p w14:paraId="4E000000">
            <w:pPr>
              <w:spacing w:line="280" w:lineRule="exact"/>
              <w:ind/>
              <w:jc w:val="both"/>
              <w:rPr>
                <w:sz w:val="28"/>
              </w:rPr>
            </w:pPr>
            <w:r>
              <w:rPr>
                <w:sz w:val="28"/>
              </w:rPr>
              <w:t>за счет средств местного бюджета - 662,3</w:t>
            </w:r>
            <w:r>
              <w:rPr>
                <w:sz w:val="28"/>
              </w:rPr>
              <w:t xml:space="preserve"> </w:t>
            </w:r>
            <w:r>
              <w:rPr>
                <w:sz w:val="28"/>
              </w:rPr>
              <w:t>тыс. рублей, в том числе по годам:</w:t>
            </w:r>
          </w:p>
          <w:p w14:paraId="4F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50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51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2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3000000">
            <w:pPr>
              <w:spacing w:line="280" w:lineRule="exact"/>
              <w:ind w:firstLine="284" w:left="0"/>
              <w:jc w:val="both"/>
              <w:rPr>
                <w:sz w:val="28"/>
              </w:rPr>
            </w:pPr>
            <w:r>
              <w:rPr>
                <w:sz w:val="28"/>
              </w:rPr>
              <w:t>в 20</w:t>
            </w:r>
            <w:r>
              <w:rPr>
                <w:sz w:val="28"/>
              </w:rPr>
              <w:t>23</w:t>
            </w:r>
            <w:r>
              <w:rPr>
                <w:sz w:val="28"/>
              </w:rPr>
              <w:t xml:space="preserve"> году - </w:t>
            </w:r>
            <w:r>
              <w:rPr>
                <w:sz w:val="28"/>
              </w:rPr>
              <w:t>74,9</w:t>
            </w:r>
            <w:r>
              <w:rPr>
                <w:sz w:val="28"/>
              </w:rPr>
              <w:t xml:space="preserve"> тыс. рублей;</w:t>
            </w:r>
          </w:p>
          <w:p w14:paraId="54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55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56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57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8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9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A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558"/>
            <w:tcMar>
              <w:top w:type="dxa" w:w="0"/>
              <w:left w:type="dxa" w:w="57"/>
              <w:bottom w:type="dxa" w:w="0"/>
              <w:right w:type="dxa" w:w="57"/>
            </w:tcMar>
          </w:tcPr>
          <w:p w14:paraId="5B000000">
            <w:pPr>
              <w:spacing w:line="280" w:lineRule="exact"/>
              <w:ind/>
              <w:rPr>
                <w:sz w:val="28"/>
              </w:rPr>
            </w:pPr>
          </w:p>
        </w:tc>
        <w:tc>
          <w:tcPr>
            <w:tcW w:type="dxa" w:w="400"/>
            <w:tcMar>
              <w:top w:type="dxa" w:w="0"/>
              <w:left w:type="dxa" w:w="57"/>
              <w:bottom w:type="dxa" w:w="0"/>
              <w:right w:type="dxa" w:w="57"/>
            </w:tcMar>
          </w:tcPr>
          <w:p w14:paraId="5C000000">
            <w:pPr>
              <w:spacing w:line="280" w:lineRule="exact"/>
              <w:ind/>
              <w:rPr>
                <w:sz w:val="28"/>
              </w:rPr>
            </w:pPr>
          </w:p>
        </w:tc>
        <w:tc>
          <w:tcPr>
            <w:tcW w:type="dxa" w:w="6256"/>
            <w:tcMar>
              <w:top w:type="dxa" w:w="0"/>
              <w:left w:type="dxa" w:w="57"/>
              <w:bottom w:type="dxa" w:w="0"/>
              <w:right w:type="dxa" w:w="57"/>
            </w:tcMar>
          </w:tcPr>
          <w:p w14:paraId="5D000000">
            <w:pPr>
              <w:spacing w:line="280" w:lineRule="exact"/>
              <w:ind/>
              <w:jc w:val="both"/>
              <w:rPr>
                <w:sz w:val="28"/>
              </w:rPr>
            </w:pPr>
          </w:p>
        </w:tc>
      </w:tr>
    </w:tbl>
    <w:p w14:paraId="5E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Ind w:type="dxa" w:w="-397"/>
        <w:tblLayout w:type="fixed"/>
      </w:tblPr>
      <w:tblGrid>
        <w:gridCol w:w="2200"/>
        <w:gridCol w:w="393"/>
        <w:gridCol w:w="7018"/>
      </w:tblGrid>
      <w:tr>
        <w:tc>
          <w:tcPr>
            <w:tcW w:type="dxa" w:w="2200"/>
            <w:tcMar>
              <w:top w:type="dxa" w:w="28"/>
              <w:left w:type="dxa" w:w="28"/>
              <w:bottom w:type="dxa" w:w="28"/>
              <w:right w:type="dxa" w:w="28"/>
            </w:tcMar>
          </w:tcPr>
          <w:p w14:paraId="5F000000">
            <w:pPr>
              <w:spacing w:line="280" w:lineRule="exact"/>
              <w:ind/>
              <w:rPr>
                <w:sz w:val="28"/>
              </w:rPr>
            </w:pPr>
          </w:p>
          <w:p w14:paraId="60000000">
            <w:pPr>
              <w:spacing w:line="280" w:lineRule="exact"/>
              <w:ind/>
              <w:rPr>
                <w:sz w:val="28"/>
              </w:rPr>
            </w:pPr>
            <w:r>
              <w:rPr>
                <w:sz w:val="28"/>
              </w:rPr>
              <w:t>Р</w:t>
            </w:r>
            <w:r>
              <w:rPr>
                <w:sz w:val="28"/>
              </w:rPr>
              <w:t>есурсное обеспечение подпрогр</w:t>
            </w:r>
            <w:r>
              <w:rPr>
                <w:sz w:val="28"/>
              </w:rPr>
              <w:t>аммы</w:t>
            </w:r>
          </w:p>
        </w:tc>
        <w:tc>
          <w:tcPr>
            <w:tcW w:type="dxa" w:w="393"/>
            <w:tcMar>
              <w:top w:type="dxa" w:w="28"/>
              <w:left w:type="dxa" w:w="28"/>
              <w:bottom w:type="dxa" w:w="28"/>
              <w:right w:type="dxa" w:w="28"/>
            </w:tcMar>
          </w:tcPr>
          <w:p w14:paraId="61000000">
            <w:pPr>
              <w:spacing w:line="280" w:lineRule="exact"/>
              <w:ind/>
              <w:rPr>
                <w:sz w:val="28"/>
              </w:rPr>
            </w:pPr>
            <w:r>
              <w:rPr>
                <w:sz w:val="28"/>
              </w:rPr>
              <w:t xml:space="preserve"> </w:t>
            </w:r>
          </w:p>
        </w:tc>
        <w:tc>
          <w:tcPr>
            <w:tcW w:type="dxa" w:w="7018"/>
            <w:tcMar>
              <w:top w:type="dxa" w:w="28"/>
              <w:left w:type="dxa" w:w="28"/>
              <w:bottom w:type="dxa" w:w="28"/>
              <w:right w:type="dxa" w:w="28"/>
            </w:tcMar>
          </w:tcPr>
          <w:p w14:paraId="62000000">
            <w:pPr>
              <w:spacing w:line="280" w:lineRule="exact"/>
              <w:ind/>
              <w:jc w:val="both"/>
              <w:rPr>
                <w:sz w:val="28"/>
              </w:rPr>
            </w:pPr>
          </w:p>
          <w:p w14:paraId="63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w:t>
            </w:r>
            <w:r>
              <w:rPr>
                <w:sz w:val="28"/>
              </w:rPr>
              <w:t>3 123,2</w:t>
            </w:r>
            <w:r>
              <w:rPr>
                <w:sz w:val="28"/>
              </w:rPr>
              <w:t xml:space="preserve"> тыс. рублей, в том числе по годам:</w:t>
            </w:r>
          </w:p>
          <w:p w14:paraId="64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2 923,3</w:t>
            </w:r>
            <w:r>
              <w:rPr>
                <w:sz w:val="28"/>
              </w:rPr>
              <w:t xml:space="preserve"> тыс. рублей;</w:t>
            </w:r>
          </w:p>
          <w:p w14:paraId="65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6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67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68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69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6A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6B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C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D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E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6F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0000000">
            <w:pPr>
              <w:spacing w:line="280" w:lineRule="exact"/>
              <w:ind/>
              <w:jc w:val="both"/>
              <w:rPr>
                <w:sz w:val="28"/>
              </w:rPr>
            </w:pPr>
            <w:r>
              <w:rPr>
                <w:sz w:val="28"/>
              </w:rPr>
              <w:t>И</w:t>
            </w:r>
            <w:r>
              <w:rPr>
                <w:sz w:val="28"/>
              </w:rPr>
              <w:t>з местного бюджета –</w:t>
            </w:r>
            <w:r>
              <w:rPr>
                <w:sz w:val="28"/>
              </w:rPr>
              <w:t xml:space="preserve"> </w:t>
            </w:r>
            <w:r>
              <w:rPr>
                <w:sz w:val="28"/>
              </w:rPr>
              <w:t>1 763,2</w:t>
            </w:r>
            <w:r>
              <w:rPr>
                <w:sz w:val="28"/>
              </w:rPr>
              <w:t xml:space="preserve"> </w:t>
            </w:r>
            <w:r>
              <w:rPr>
                <w:sz w:val="28"/>
              </w:rPr>
              <w:t>тыс.</w:t>
            </w:r>
            <w:r>
              <w:rPr>
                <w:sz w:val="28"/>
              </w:rPr>
              <w:t xml:space="preserve"> </w:t>
            </w:r>
            <w:r>
              <w:rPr>
                <w:sz w:val="28"/>
              </w:rPr>
              <w:t>руб. в том числе</w:t>
            </w:r>
            <w:r>
              <w:rPr>
                <w:sz w:val="28"/>
              </w:rPr>
              <w:t>:</w:t>
            </w:r>
          </w:p>
          <w:p w14:paraId="71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1 563,3</w:t>
            </w:r>
            <w:r>
              <w:rPr>
                <w:sz w:val="28"/>
              </w:rPr>
              <w:t xml:space="preserve"> тыс. рублей;</w:t>
            </w:r>
          </w:p>
          <w:p w14:paraId="72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3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74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75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76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77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78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9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A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B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C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D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7E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7F000000">
      <w:pPr>
        <w:spacing w:line="280" w:lineRule="exact"/>
        <w:ind/>
        <w:rPr>
          <w:sz w:val="28"/>
        </w:rPr>
      </w:pPr>
    </w:p>
    <w:p w14:paraId="80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81000000">
      <w:pPr>
        <w:spacing w:line="280" w:lineRule="exact"/>
        <w:ind/>
        <w:jc w:val="center"/>
        <w:rPr>
          <w:b w:val="1"/>
          <w:sz w:val="28"/>
        </w:rPr>
      </w:pPr>
    </w:p>
    <w:p w14:paraId="82000000">
      <w:pPr>
        <w:spacing w:line="280" w:lineRule="exact"/>
        <w:ind/>
        <w:jc w:val="center"/>
        <w:rPr>
          <w:b w:val="1"/>
          <w:sz w:val="28"/>
        </w:rPr>
      </w:pPr>
      <w:r>
        <w:rPr>
          <w:b w:val="1"/>
          <w:sz w:val="28"/>
        </w:rPr>
        <w:t>Раздел 4. Информация по ресурсному обеспечению</w:t>
      </w:r>
    </w:p>
    <w:p w14:paraId="83000000">
      <w:pPr>
        <w:spacing w:line="280" w:lineRule="exact"/>
        <w:ind/>
        <w:jc w:val="center"/>
        <w:rPr>
          <w:sz w:val="28"/>
        </w:rPr>
      </w:pPr>
      <w:r>
        <w:rPr>
          <w:b w:val="1"/>
          <w:sz w:val="28"/>
        </w:rPr>
        <w:t>муниципальной программы.</w:t>
      </w:r>
    </w:p>
    <w:p w14:paraId="84000000">
      <w:pPr>
        <w:spacing w:line="280" w:lineRule="exact"/>
        <w:ind/>
        <w:jc w:val="center"/>
        <w:rPr>
          <w:sz w:val="28"/>
        </w:rPr>
      </w:pPr>
    </w:p>
    <w:p w14:paraId="85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6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3 785,5</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7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2 425,5</w:t>
      </w:r>
      <w:r>
        <w:rPr>
          <w:sz w:val="28"/>
        </w:rPr>
        <w:t xml:space="preserve"> тыс.</w:t>
      </w:r>
      <w:r>
        <w:rPr>
          <w:sz w:val="28"/>
        </w:rPr>
        <w:t xml:space="preserve"> рублей;</w:t>
      </w:r>
    </w:p>
    <w:p w14:paraId="88000000">
      <w:pPr>
        <w:spacing w:line="280" w:lineRule="exact"/>
        <w:ind w:firstLine="709" w:left="0"/>
        <w:jc w:val="both"/>
        <w:rPr>
          <w:sz w:val="28"/>
        </w:rPr>
      </w:pPr>
      <w:r>
        <w:rPr>
          <w:sz w:val="28"/>
        </w:rPr>
        <w:t>за счет средств Фонда Главы</w:t>
      </w:r>
      <w:r>
        <w:rPr>
          <w:sz w:val="28"/>
        </w:rPr>
        <w:t xml:space="preserve"> Администрации Азовского</w:t>
      </w:r>
      <w:r>
        <w:rPr>
          <w:sz w:val="28"/>
        </w:rPr>
        <w:t xml:space="preserve"> района - </w:t>
      </w:r>
      <w:r>
        <w:rPr>
          <w:sz w:val="28"/>
        </w:rPr>
        <w:t>1360,0</w:t>
      </w:r>
      <w:r>
        <w:rPr>
          <w:sz w:val="28"/>
        </w:rPr>
        <w:t xml:space="preserve"> тыс.</w:t>
      </w:r>
      <w:r>
        <w:rPr>
          <w:sz w:val="28"/>
        </w:rPr>
        <w:t xml:space="preserve"> </w:t>
      </w:r>
      <w:r>
        <w:rPr>
          <w:sz w:val="28"/>
        </w:rPr>
        <w:t>рублей</w:t>
      </w:r>
    </w:p>
    <w:p w14:paraId="89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A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B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C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D000000">
      <w:pPr>
        <w:ind w:firstLine="567" w:left="0"/>
        <w:jc w:val="both"/>
        <w:rPr>
          <w:sz w:val="28"/>
        </w:rPr>
      </w:pPr>
    </w:p>
    <w:p w14:paraId="8E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8F000000">
      <w:pPr>
        <w:spacing w:line="280" w:lineRule="exact"/>
        <w:ind/>
        <w:jc w:val="center"/>
        <w:rPr>
          <w:b w:val="1"/>
          <w:sz w:val="28"/>
        </w:rPr>
      </w:pPr>
    </w:p>
    <w:p w14:paraId="90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xml:space="preserve">. Информация по ресурсному обеспечению </w:t>
      </w:r>
      <w:r>
        <w:rPr>
          <w:b w:val="1"/>
          <w:sz w:val="28"/>
        </w:rPr>
        <w:t xml:space="preserve">муниципальной </w:t>
      </w:r>
      <w:r>
        <w:rPr>
          <w:b w:val="1"/>
          <w:sz w:val="28"/>
        </w:rPr>
        <w:t>подпрограм</w:t>
      </w:r>
      <w:r>
        <w:rPr>
          <w:b w:val="1"/>
          <w:sz w:val="28"/>
        </w:rPr>
        <w:t>мы</w:t>
      </w:r>
      <w:r>
        <w:rPr>
          <w:b w:val="1"/>
          <w:sz w:val="28"/>
        </w:rPr>
        <w:t xml:space="preserve"> </w:t>
      </w:r>
      <w:r>
        <w:rPr>
          <w:b w:val="1"/>
          <w:sz w:val="28"/>
        </w:rPr>
        <w:t>«</w:t>
      </w:r>
      <w:r>
        <w:rPr>
          <w:b w:val="1"/>
          <w:sz w:val="28"/>
        </w:rPr>
        <w:t>Развитие жилищного хозяйства в сельском поселении</w:t>
      </w:r>
      <w:r>
        <w:rPr>
          <w:b w:val="1"/>
          <w:sz w:val="28"/>
        </w:rPr>
        <w:t>»</w:t>
      </w:r>
    </w:p>
    <w:p w14:paraId="91000000">
      <w:pPr>
        <w:spacing w:line="280" w:lineRule="exact"/>
        <w:ind/>
        <w:jc w:val="center"/>
        <w:rPr>
          <w:sz w:val="28"/>
        </w:rPr>
      </w:pPr>
    </w:p>
    <w:p w14:paraId="92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3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 xml:space="preserve">0 годах составляет </w:t>
      </w:r>
      <w:r>
        <w:rPr>
          <w:sz w:val="28"/>
        </w:rPr>
        <w:t>662,3</w:t>
      </w:r>
      <w:r>
        <w:rPr>
          <w:sz w:val="28"/>
        </w:rPr>
        <w:t xml:space="preserve"> </w:t>
      </w:r>
      <w:r>
        <w:rPr>
          <w:sz w:val="28"/>
        </w:rPr>
        <w:t>тыс. рублей за счет всех источников финансирования, в том числе:</w:t>
      </w:r>
      <w:r>
        <w:rPr>
          <w:sz w:val="28"/>
        </w:rPr>
        <w:t xml:space="preserve"> </w:t>
      </w:r>
    </w:p>
    <w:p w14:paraId="94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662,3</w:t>
      </w:r>
      <w:r>
        <w:rPr>
          <w:sz w:val="28"/>
        </w:rPr>
        <w:t xml:space="preserve"> тыс. рублей.</w:t>
      </w:r>
    </w:p>
    <w:p w14:paraId="95000000">
      <w:pPr>
        <w:spacing w:line="280" w:lineRule="exact"/>
        <w:ind w:firstLine="709" w:left="0"/>
        <w:jc w:val="both"/>
        <w:rPr>
          <w:sz w:val="28"/>
        </w:rPr>
      </w:pPr>
      <w:r>
        <w:rPr>
          <w:sz w:val="28"/>
        </w:rPr>
        <w:t>Объем финансирования подпрограммы подлежит ежегодному уточнению.</w:t>
      </w:r>
    </w:p>
    <w:p w14:paraId="96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7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8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9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A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B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C000000">
      <w:pPr>
        <w:spacing w:line="280" w:lineRule="exact"/>
        <w:ind/>
        <w:jc w:val="both"/>
        <w:rPr>
          <w:sz w:val="28"/>
        </w:rPr>
      </w:pPr>
    </w:p>
    <w:p w14:paraId="9D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9E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9F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A0000000">
      <w:pPr>
        <w:spacing w:line="280" w:lineRule="exact"/>
        <w:ind/>
        <w:jc w:val="both"/>
        <w:rPr>
          <w:sz w:val="28"/>
        </w:rPr>
      </w:pPr>
    </w:p>
    <w:p w14:paraId="A1000000">
      <w:pPr>
        <w:spacing w:line="280" w:lineRule="exact"/>
        <w:ind w:firstLine="709" w:left="0"/>
        <w:jc w:val="both"/>
        <w:rPr>
          <w:sz w:val="28"/>
        </w:rPr>
      </w:pPr>
      <w:r>
        <w:rPr>
          <w:sz w:val="28"/>
        </w:rPr>
        <w:t>Общий объем 3 785,5</w:t>
      </w:r>
      <w:r>
        <w:rPr>
          <w:sz w:val="28"/>
        </w:rPr>
        <w:t xml:space="preserve"> </w:t>
      </w:r>
      <w:r>
        <w:rPr>
          <w:sz w:val="28"/>
        </w:rPr>
        <w:t xml:space="preserve"> тыс. рублей за счет всех источников финансирования, в том числе:</w:t>
      </w:r>
    </w:p>
    <w:p w14:paraId="A2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2 425,5</w:t>
      </w:r>
      <w:r>
        <w:rPr>
          <w:sz w:val="28"/>
        </w:rPr>
        <w:t xml:space="preserve"> тыс. рублей.</w:t>
      </w:r>
    </w:p>
    <w:p w14:paraId="A3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4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5000000">
      <w:pPr>
        <w:spacing w:line="280" w:lineRule="exact"/>
        <w:ind/>
        <w:jc w:val="both"/>
        <w:rPr>
          <w:sz w:val="28"/>
        </w:rPr>
      </w:pPr>
    </w:p>
    <w:p w14:paraId="A6000000">
      <w:pPr>
        <w:ind w:firstLine="567" w:left="0"/>
        <w:jc w:val="both"/>
        <w:rPr>
          <w:sz w:val="28"/>
        </w:rPr>
      </w:pPr>
      <w:r>
        <w:rPr>
          <w:sz w:val="28"/>
        </w:rPr>
        <w:t>1.7. П</w:t>
      </w:r>
      <w:r>
        <w:rPr>
          <w:spacing w:val="-6"/>
          <w:sz w:val="28"/>
        </w:rPr>
        <w:t>риложени</w:t>
      </w:r>
      <w:r>
        <w:rPr>
          <w:spacing w:val="-6"/>
          <w:sz w:val="28"/>
        </w:rPr>
        <w:t xml:space="preserve">я </w:t>
      </w:r>
      <w:r>
        <w:rPr>
          <w:spacing w:val="-6"/>
          <w:sz w:val="28"/>
        </w:rPr>
        <w:t>№</w:t>
      </w:r>
      <w:r>
        <w:rPr>
          <w:spacing w:val="-6"/>
          <w:sz w:val="28"/>
        </w:rPr>
        <w:t xml:space="preserve">3,4,6 </w:t>
      </w:r>
      <w:r>
        <w:rPr>
          <w:sz w:val="28"/>
        </w:rPr>
        <w:t xml:space="preserve">к </w:t>
      </w:r>
      <w:r>
        <w:rPr>
          <w:sz w:val="28"/>
        </w:rPr>
        <w:t>постановлению</w:t>
      </w:r>
      <w:r>
        <w:rPr>
          <w:sz w:val="28"/>
        </w:rPr>
        <w:t xml:space="preserve"> А</w:t>
      </w:r>
      <w:r>
        <w:rPr>
          <w:sz w:val="28"/>
        </w:rPr>
        <w:t>дминистрации</w:t>
      </w:r>
      <w:r>
        <w:rPr>
          <w:sz w:val="28"/>
        </w:rPr>
        <w:t xml:space="preserve"> Кагальницкого</w:t>
      </w:r>
      <w:r>
        <w:rPr>
          <w:sz w:val="28"/>
        </w:rPr>
        <w:t xml:space="preserve"> сельского поселения</w:t>
      </w:r>
      <w:r>
        <w:rPr>
          <w:sz w:val="28"/>
        </w:rPr>
        <w:t xml:space="preserve"> </w:t>
      </w:r>
      <w:r>
        <w:rPr>
          <w:sz w:val="28"/>
        </w:rPr>
        <w:t>о</w:t>
      </w:r>
      <w:r>
        <w:rPr>
          <w:sz w:val="28"/>
        </w:rPr>
        <w:t>т</w:t>
      </w:r>
      <w:r>
        <w:rPr>
          <w:sz w:val="28"/>
        </w:rPr>
        <w:t xml:space="preserve"> 25.10.2018г.</w:t>
      </w:r>
      <w:r>
        <w:rPr>
          <w:sz w:val="28"/>
        </w:rPr>
        <w:t xml:space="preserve"> № </w:t>
      </w:r>
      <w:r>
        <w:rPr>
          <w:sz w:val="28"/>
        </w:rPr>
        <w:t xml:space="preserve">148 </w:t>
      </w:r>
      <w:r>
        <w:rPr>
          <w:sz w:val="28"/>
        </w:rPr>
        <w:t>изложить в новой редакции согласно приложениям к настоящему постановлению.</w:t>
      </w:r>
    </w:p>
    <w:p w14:paraId="A7000000">
      <w:pPr>
        <w:ind w:firstLine="567" w:left="0"/>
        <w:jc w:val="both"/>
        <w:rPr>
          <w:sz w:val="28"/>
        </w:rPr>
      </w:pPr>
      <w:r>
        <w:rPr>
          <w:sz w:val="28"/>
        </w:rPr>
        <w:t xml:space="preserve"> </w:t>
      </w:r>
      <w:r>
        <w:rPr>
          <w:color w:val="000000"/>
          <w:sz w:val="28"/>
        </w:rPr>
        <w:tab/>
      </w:r>
      <w:r>
        <w:rPr>
          <w:color w:val="000000"/>
          <w:sz w:val="28"/>
        </w:rPr>
        <w:t xml:space="preserve">2. Настоящее постановление вступает в силу с момента подписания и подлежит официальному обнародованию на </w:t>
      </w:r>
      <w:r>
        <w:rPr>
          <w:color w:val="000000"/>
          <w:sz w:val="28"/>
        </w:rPr>
        <w:t xml:space="preserve">официальном </w:t>
      </w:r>
      <w:r>
        <w:rPr>
          <w:color w:val="000000"/>
          <w:sz w:val="28"/>
        </w:rPr>
        <w:t xml:space="preserve">сайте администрации </w:t>
      </w:r>
      <w:r>
        <w:rPr>
          <w:color w:val="000000"/>
          <w:sz w:val="28"/>
        </w:rPr>
        <w:t>Кагальниц</w:t>
      </w:r>
      <w:r>
        <w:rPr>
          <w:color w:val="000000"/>
          <w:sz w:val="28"/>
        </w:rPr>
        <w:t>кого сельского поселения.</w:t>
      </w:r>
    </w:p>
    <w:p w14:paraId="A8000000">
      <w:pPr>
        <w:ind/>
        <w:jc w:val="both"/>
      </w:pPr>
      <w:r>
        <w:rPr>
          <w:color w:val="000000"/>
          <w:sz w:val="28"/>
        </w:rPr>
        <w:tab/>
      </w:r>
      <w:r>
        <w:rPr>
          <w:color w:val="000000"/>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A9000000">
      <w:pPr>
        <w:ind/>
        <w:jc w:val="both"/>
        <w:rPr>
          <w:color w:val="000000"/>
          <w:sz w:val="28"/>
        </w:rPr>
      </w:pPr>
    </w:p>
    <w:p w14:paraId="AA000000">
      <w:pPr>
        <w:ind/>
        <w:jc w:val="both"/>
        <w:rPr>
          <w:color w:val="000000"/>
          <w:sz w:val="28"/>
        </w:rPr>
      </w:pPr>
    </w:p>
    <w:p w14:paraId="AB000000">
      <w:pPr>
        <w:ind w:firstLine="426" w:left="0"/>
        <w:jc w:val="both"/>
        <w:rPr>
          <w:sz w:val="28"/>
        </w:rPr>
      </w:pPr>
      <w:r>
        <w:rPr>
          <w:sz w:val="28"/>
        </w:rPr>
        <w:t>Глава Администрации</w:t>
      </w:r>
    </w:p>
    <w:p w14:paraId="AC000000">
      <w:pPr>
        <w:rPr>
          <w:sz w:val="28"/>
        </w:rPr>
      </w:pPr>
      <w:r>
        <w:rPr>
          <w:sz w:val="28"/>
        </w:rPr>
        <w:t xml:space="preserve">      Кагальницкого сельского поселения             </w:t>
      </w:r>
      <w:r>
        <w:rPr>
          <w:sz w:val="28"/>
        </w:rPr>
        <w:t xml:space="preserve">                    </w:t>
      </w:r>
      <w:r>
        <w:rPr>
          <w:sz w:val="28"/>
        </w:rPr>
        <w:tab/>
      </w:r>
      <w:r>
        <w:rPr>
          <w:sz w:val="28"/>
        </w:rPr>
        <w:t>К.А.</w:t>
      </w:r>
      <w:r>
        <w:rPr>
          <w:sz w:val="28"/>
        </w:rPr>
        <w:t xml:space="preserve"> </w:t>
      </w:r>
      <w:r>
        <w:rPr>
          <w:sz w:val="28"/>
        </w:rPr>
        <w:t xml:space="preserve"> Малерян</w:t>
      </w:r>
    </w:p>
    <w:p w14:paraId="AD000000">
      <w:pPr>
        <w:sectPr>
          <w:footerReference r:id="rId2" w:type="default"/>
          <w:pgSz w:h="16838" w:orient="portrait" w:w="11906"/>
          <w:pgMar w:bottom="722" w:footer="720" w:gutter="0" w:header="720" w:left="1701" w:right="991" w:top="709"/>
        </w:sectPr>
      </w:pPr>
    </w:p>
    <w:tbl>
      <w:tblPr>
        <w:tblStyle w:val="Style_3"/>
        <w:tblInd w:type="dxa" w:w="-601"/>
        <w:tblLayout w:type="fixed"/>
      </w:tblPr>
      <w:tblGrid>
        <w:gridCol w:w="2534"/>
        <w:gridCol w:w="3242"/>
        <w:gridCol w:w="1776"/>
        <w:gridCol w:w="668"/>
        <w:gridCol w:w="364"/>
        <w:gridCol w:w="585"/>
        <w:gridCol w:w="682"/>
        <w:gridCol w:w="5180"/>
        <w:gridCol w:w="977"/>
      </w:tblGrid>
      <w:tr>
        <w:trPr>
          <w:trHeight w:hRule="atLeast" w:val="1418"/>
        </w:trPr>
        <w:tc>
          <w:tcPr>
            <w:tcW w:type="dxa" w:w="15030"/>
            <w:gridSpan w:val="8"/>
            <w:tcBorders>
              <w:top w:sz="4" w:val="nil"/>
              <w:left w:sz="4" w:val="nil"/>
              <w:bottom w:sz="4" w:val="nil"/>
              <w:right w:sz="4" w:val="nil"/>
            </w:tcBorders>
            <w:shd w:fill="auto" w:val="clear"/>
            <w:vAlign w:val="bottom"/>
          </w:tcPr>
          <w:p w14:paraId="AE000000">
            <w:pPr>
              <w:ind/>
              <w:jc w:val="right"/>
            </w:pPr>
          </w:p>
          <w:p w14:paraId="AF000000">
            <w:pPr>
              <w:tabs>
                <w:tab w:leader="none" w:pos="14459" w:val="left"/>
              </w:tabs>
              <w:ind w:hanging="426" w:left="426" w:right="-30"/>
              <w:jc w:val="right"/>
              <w:rPr>
                <w:sz w:val="24"/>
              </w:rPr>
            </w:pPr>
            <w:r>
              <w:rPr>
                <w:sz w:val="24"/>
              </w:rPr>
              <w:t>Приложение к</w:t>
            </w:r>
            <w:r>
              <w:rPr>
                <w:sz w:val="24"/>
              </w:rPr>
              <w:t xml:space="preserve"> постановлению от 14</w:t>
            </w:r>
            <w:r>
              <w:rPr>
                <w:sz w:val="24"/>
              </w:rPr>
              <w:t>.11.2023г.№</w:t>
            </w:r>
            <w:r>
              <w:rPr>
                <w:sz w:val="24"/>
              </w:rPr>
              <w:t>157</w:t>
            </w:r>
            <w:r>
              <w:rPr>
                <w:sz w:val="24"/>
              </w:rPr>
              <w:t xml:space="preserve"> «О внесении изменений в постановление </w:t>
            </w:r>
          </w:p>
          <w:p w14:paraId="B0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148</w:t>
            </w:r>
          </w:p>
          <w:p w14:paraId="B1000000">
            <w:pPr>
              <w:ind/>
              <w:jc w:val="right"/>
            </w:pPr>
            <w:r>
              <w:rPr>
                <w:sz w:val="24"/>
              </w:rPr>
              <w:t>«</w:t>
            </w:r>
            <w:r>
              <w:t>Обеспечение качественными жилищно-коммунальными услугами</w:t>
            </w:r>
            <w:r>
              <w:rPr>
                <w:sz w:val="24"/>
              </w:rPr>
              <w:t>»</w:t>
            </w:r>
          </w:p>
          <w:p w14:paraId="B2000000">
            <w:pPr>
              <w:ind/>
              <w:jc w:val="right"/>
            </w:pPr>
          </w:p>
          <w:p w14:paraId="B3000000">
            <w:pPr>
              <w:ind/>
              <w:jc w:val="right"/>
            </w:pPr>
            <w:r>
              <w:t>Приложение № 3</w:t>
            </w:r>
          </w:p>
          <w:p w14:paraId="B4000000">
            <w:pPr>
              <w:ind/>
              <w:jc w:val="right"/>
            </w:pPr>
            <w:r>
              <w:t xml:space="preserve">к муниципальной программе </w:t>
            </w:r>
            <w:r>
              <w:t xml:space="preserve">Кагальницкого </w:t>
            </w:r>
            <w:r>
              <w:t xml:space="preserve">сельского поселения </w:t>
            </w:r>
          </w:p>
          <w:p w14:paraId="B5000000">
            <w:pPr>
              <w:ind/>
              <w:jc w:val="right"/>
            </w:pPr>
            <w:r>
              <w:t>«Обеспечение качественными жилищно-коммунальными услугами»</w:t>
            </w:r>
            <w:bookmarkStart w:id="1" w:name="RANGE!A1:N24"/>
            <w:bookmarkEnd w:id="1"/>
          </w:p>
        </w:tc>
        <w:tc>
          <w:tcPr>
            <w:tcW w:type="dxa" w:w="977"/>
          </w:tcPr>
          <w:p/>
        </w:tc>
      </w:tr>
      <w:tr>
        <w:trPr>
          <w:trHeight w:hRule="atLeast" w:val="680"/>
        </w:trPr>
        <w:tc>
          <w:tcPr>
            <w:tcW w:type="dxa" w:w="16007"/>
            <w:gridSpan w:val="9"/>
            <w:tcBorders>
              <w:top w:sz="4" w:val="nil"/>
              <w:left w:sz="4" w:val="nil"/>
              <w:bottom w:sz="4" w:val="nil"/>
              <w:right w:sz="4" w:val="nil"/>
            </w:tcBorders>
            <w:shd w:fill="auto" w:val="clear"/>
          </w:tcPr>
          <w:p w14:paraId="B6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7000000">
            <w:pPr>
              <w:ind/>
              <w:jc w:val="center"/>
            </w:pPr>
            <w:r>
              <w:t>«Обеспечение качественными жилищно-коммунальными услугами»</w:t>
            </w:r>
          </w:p>
          <w:p w14:paraId="B800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795"/>
              <w:gridCol w:w="775"/>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9000000">
                  <w:pPr>
                    <w:widowControl w:val="0"/>
                    <w:ind w:firstLine="18" w:left="-108" w:right="-57"/>
                    <w:jc w:val="center"/>
                    <w:rPr>
                      <w:sz w:val="20"/>
                    </w:rPr>
                  </w:pPr>
                  <w:r>
                    <w:rPr>
                      <w:sz w:val="20"/>
                    </w:rPr>
                    <w:t>№</w:t>
                  </w:r>
                </w:p>
                <w:p w14:paraId="BA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 xml:space="preserve">Код бюджетной классификации расходов </w:t>
                  </w:r>
                </w:p>
              </w:tc>
              <w:tc>
                <w:tcPr>
                  <w:tcW w:type="dxa" w:w="795"/>
                  <w:vMerge w:val="restart"/>
                  <w:tcBorders>
                    <w:top w:color="000000" w:sz="4" w:val="single"/>
                    <w:left w:color="000000" w:sz="4" w:val="single"/>
                    <w:bottom w:color="000000" w:sz="4" w:val="single"/>
                    <w:right w:color="000000" w:sz="4" w:val="single"/>
                  </w:tcBorders>
                  <w:tcMar>
                    <w:left w:type="dxa" w:w="57"/>
                    <w:right w:type="dxa" w:w="57"/>
                  </w:tcMar>
                </w:tcPr>
                <w:p w14:paraId="BE000000">
                  <w:pPr>
                    <w:ind/>
                    <w:jc w:val="center"/>
                    <w:rPr>
                      <w:sz w:val="16"/>
                    </w:rPr>
                  </w:pPr>
                  <w:r>
                    <w:rPr>
                      <w:sz w:val="16"/>
                    </w:rPr>
                    <w:t xml:space="preserve">Объем расходов, всего </w:t>
                  </w:r>
                </w:p>
                <w:p w14:paraId="BF000000">
                  <w:pPr>
                    <w:ind/>
                    <w:jc w:val="center"/>
                    <w:rPr>
                      <w:sz w:val="20"/>
                    </w:rPr>
                  </w:pPr>
                  <w:r>
                    <w:rPr>
                      <w:sz w:val="16"/>
                    </w:rPr>
                    <w:t>(тыс. рублей)</w:t>
                  </w:r>
                </w:p>
              </w:tc>
              <w:tc>
                <w:tcPr>
                  <w:tcW w:type="dxa" w:w="7799"/>
                  <w:gridSpan w:val="13"/>
                  <w:tcBorders>
                    <w:top w:color="000000" w:sz="4" w:val="single"/>
                    <w:left w:color="000000" w:sz="4" w:val="single"/>
                    <w:bottom w:color="000000" w:sz="4" w:val="single"/>
                    <w:right w:color="000000" w:sz="4" w:val="single"/>
                  </w:tcBorders>
                  <w:tcMar>
                    <w:left w:type="dxa" w:w="57"/>
                    <w:right w:type="dxa" w:w="57"/>
                  </w:tcMar>
                </w:tcPr>
                <w:p w14:paraId="C0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C1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ВР</w:t>
                  </w:r>
                </w:p>
              </w:tc>
              <w:tc>
                <w:tcPr>
                  <w:tcW w:type="dxa" w:w="79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75"/>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2030</w:t>
                  </w:r>
                </w:p>
              </w:tc>
            </w:tr>
            <w:tr>
              <w:trPr>
                <w:trHeight w:hRule="atLeast" w:val="287"/>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3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4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7</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4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6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7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8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9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A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B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EC000000">
                  <w:pPr>
                    <w:ind/>
                    <w:jc w:val="right"/>
                    <w:rPr>
                      <w:sz w:val="20"/>
                    </w:rPr>
                  </w:pPr>
                  <w:r>
                    <w:rPr>
                      <w:sz w:val="20"/>
                    </w:rPr>
                    <w:t>3 785,5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D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96,0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128,</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121,7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7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8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9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A000000">
                  <w:pPr>
                    <w:rPr>
                      <w:sz w:val="20"/>
                    </w:rPr>
                  </w:pPr>
                  <w:r>
                    <w:rPr>
                      <w:sz w:val="20"/>
                    </w:rPr>
                    <w:t>Подпро</w:t>
                  </w:r>
                  <w:r>
                    <w:rPr>
                      <w:sz w:val="20"/>
                    </w:rPr>
                    <w:t>грамма</w:t>
                  </w:r>
                </w:p>
                <w:p w14:paraId="FB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C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D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FE00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FF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00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01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2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3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4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5010000">
                  <w:pPr>
                    <w:ind/>
                    <w:jc w:val="right"/>
                    <w:rPr>
                      <w:sz w:val="20"/>
                    </w:rPr>
                  </w:pPr>
                  <w:r>
                    <w:rPr>
                      <w:sz w:val="20"/>
                    </w:rPr>
                    <w:t>100</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6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8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C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D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0E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0F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10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11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2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7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8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9010000">
                  <w:pPr>
                    <w:ind/>
                    <w:jc w:val="right"/>
                    <w:rPr>
                      <w:sz w:val="20"/>
                    </w:rPr>
                  </w:pPr>
                  <w:r>
                    <w:rPr>
                      <w:sz w:val="20"/>
                    </w:rPr>
                    <w:t>10</w:t>
                  </w:r>
                  <w:r>
                    <w:rPr>
                      <w:sz w:val="20"/>
                    </w:rPr>
                    <w:t>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C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20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21010000">
                  <w:pPr>
                    <w:ind/>
                    <w:jc w:val="right"/>
                    <w:rPr>
                      <w:sz w:val="20"/>
                    </w:rPr>
                  </w:pPr>
                  <w:r>
                    <w:rPr>
                      <w:sz w:val="20"/>
                    </w:rPr>
                    <w:t>5</w:t>
                  </w: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2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3010000">
                  <w:pPr>
                    <w:rPr>
                      <w:sz w:val="20"/>
                    </w:rPr>
                  </w:pPr>
                  <w:r>
                    <w:rPr>
                      <w:sz w:val="20"/>
                    </w:rPr>
                    <w:t>Подпро</w:t>
                  </w:r>
                  <w:r>
                    <w:rPr>
                      <w:sz w:val="20"/>
                    </w:rPr>
                    <w:t>грамма</w:t>
                  </w:r>
                </w:p>
                <w:p w14:paraId="24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5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6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7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2A010000">
                  <w:pPr>
                    <w:ind/>
                    <w:jc w:val="right"/>
                    <w:rPr>
                      <w:sz w:val="20"/>
                    </w:rPr>
                  </w:pPr>
                  <w:r>
                    <w:rPr>
                      <w:sz w:val="20"/>
                    </w:rPr>
                    <w:t>3 123,2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B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C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D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E010000">
                  <w:r>
                    <w:rPr>
                      <w:sz w:val="20"/>
                    </w:rPr>
                    <w:t>28,0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F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0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1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2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4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5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7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8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9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A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B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0520028630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D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3E010000">
                  <w:pPr>
                    <w:ind/>
                    <w:jc w:val="center"/>
                    <w:rPr>
                      <w:sz w:val="20"/>
                    </w:rPr>
                  </w:pPr>
                  <w:r>
                    <w:rPr>
                      <w:sz w:val="20"/>
                    </w:rPr>
                    <w:t>1763,2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F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40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1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2010000">
                  <w:pPr>
                    <w:ind w:hanging="108" w:left="108"/>
                    <w:jc w:val="right"/>
                    <w:rPr>
                      <w:sz w:val="20"/>
                    </w:rPr>
                  </w:pPr>
                  <w:r>
                    <w:rPr>
                      <w:sz w:val="20"/>
                    </w:rPr>
                    <w:t>28</w:t>
                  </w:r>
                  <w:r>
                    <w:rPr>
                      <w:sz w:val="20"/>
                    </w:rPr>
                    <w:t>,0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3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4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5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6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8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9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B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C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D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4E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4F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51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52010000">
                  <w:pPr>
                    <w:ind/>
                    <w:jc w:val="right"/>
                    <w:rPr>
                      <w:sz w:val="20"/>
                    </w:rPr>
                  </w:pPr>
                  <w:r>
                    <w:rPr>
                      <w:sz w:val="20"/>
                    </w:rPr>
                    <w:t>1360,0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3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4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5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6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7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8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9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A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D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E010000">
                  <w:pPr>
                    <w:ind/>
                    <w:jc w:val="right"/>
                    <w:rPr>
                      <w:sz w:val="20"/>
                    </w:rPr>
                  </w:pPr>
                  <w:r>
                    <w:rPr>
                      <w:sz w:val="20"/>
                    </w:rPr>
                    <w:t>0,0</w:t>
                  </w:r>
                </w:p>
              </w:tc>
            </w:tr>
          </w:tbl>
          <w:p w14:paraId="5F010000">
            <w:pPr>
              <w:ind/>
              <w:jc w:val="center"/>
            </w:pPr>
          </w:p>
          <w:p w14:paraId="60010000">
            <w:pPr>
              <w:ind/>
              <w:jc w:val="center"/>
            </w:pPr>
          </w:p>
        </w:tc>
      </w:tr>
      <w:tr>
        <w:trPr>
          <w:trHeight w:hRule="atLeast" w:val="683"/>
        </w:trPr>
        <w:tc>
          <w:tcPr>
            <w:tcW w:type="dxa" w:w="16007"/>
            <w:gridSpan w:val="9"/>
            <w:tcBorders>
              <w:top w:sz="4" w:val="nil"/>
              <w:left w:sz="4" w:val="nil"/>
              <w:bottom w:color="000000" w:sz="4" w:val="single"/>
              <w:right w:sz="4" w:val="nil"/>
            </w:tcBorders>
            <w:shd w:fill="auto" w:val="clear"/>
          </w:tcPr>
          <w:p w14:paraId="61010000"/>
          <w:p w14:paraId="62010000"/>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 w14:paraId="7A010000"/>
          <w:p w14:paraId="7B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C010000">
            <w:pPr>
              <w:ind/>
              <w:jc w:val="right"/>
            </w:pPr>
            <w:r>
              <w:t>«Обеспечение качественными жилищно-коммунальными услугами»</w:t>
            </w:r>
          </w:p>
          <w:p w14:paraId="7D010000"/>
          <w:p w14:paraId="7E010000">
            <w:pPr>
              <w:ind/>
              <w:jc w:val="center"/>
              <w:rPr>
                <w:caps w:val="1"/>
              </w:rPr>
            </w:pPr>
            <w:r>
              <w:rPr>
                <w:caps w:val="1"/>
              </w:rPr>
              <w:t>Расходы</w:t>
            </w:r>
          </w:p>
          <w:p w14:paraId="7F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80010000">
            <w:pPr>
              <w:ind/>
              <w:jc w:val="center"/>
            </w:pPr>
            <w:r>
              <w:t>«Обеспечение качественными жилищно-коммунальными услугами»</w:t>
            </w:r>
          </w:p>
          <w:p w14:paraId="81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2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3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4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5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6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7010000">
                  <w:pPr>
                    <w:pStyle w:val="Style_2"/>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9010000">
                  <w:pPr>
                    <w:pStyle w:val="Style_2"/>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A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C010000">
                  <w:pPr>
                    <w:pStyle w:val="Style_2"/>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8E010000">
                  <w:pPr>
                    <w:pStyle w:val="Style_2"/>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8F010000">
                  <w:pPr>
                    <w:pStyle w:val="Style_2"/>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90010000">
                  <w:pPr>
                    <w:pStyle w:val="Style_2"/>
                    <w:ind w:firstLine="0" w:left="113" w:right="0"/>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91010000">
                  <w:pPr>
                    <w:pStyle w:val="Style_2"/>
                    <w:ind w:firstLine="0" w:left="113" w:right="113"/>
                    <w:rPr>
                      <w:rFonts w:ascii="Times New Roman" w:hAnsi="Times New Roman"/>
                    </w:rPr>
                  </w:pPr>
                  <w:r>
                    <w:rPr>
                      <w:rFonts w:ascii="Times New Roman" w:hAnsi="Times New Roman"/>
                    </w:rPr>
                    <w:t>2030</w:t>
                  </w:r>
                </w:p>
              </w:tc>
            </w:tr>
          </w:tbl>
          <w:p w14:paraId="92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3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4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9F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A0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A1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2010000">
                  <w:pPr>
                    <w:pStyle w:val="Style_2"/>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3010000">
                  <w:r>
                    <w:t xml:space="preserve">всего </w:t>
                  </w:r>
                </w:p>
              </w:tc>
              <w:tc>
                <w:tcPr>
                  <w:tcW w:type="dxa" w:w="1331"/>
                  <w:tcBorders>
                    <w:top w:color="000000" w:sz="4" w:val="single"/>
                    <w:left w:color="000000" w:sz="4" w:val="single"/>
                    <w:bottom w:color="000000" w:sz="4" w:val="single"/>
                    <w:right w:color="000000" w:sz="4" w:val="single"/>
                  </w:tcBorders>
                </w:tcPr>
                <w:p w14:paraId="A4010000">
                  <w:pPr>
                    <w:ind/>
                    <w:jc w:val="center"/>
                    <w:rPr>
                      <w:sz w:val="20"/>
                    </w:rPr>
                  </w:pPr>
                  <w:r>
                    <w:rPr>
                      <w:sz w:val="20"/>
                    </w:rPr>
                    <w:t>3 785,5</w:t>
                  </w:r>
                </w:p>
              </w:tc>
              <w:tc>
                <w:tcPr>
                  <w:tcW w:type="dxa" w:w="876"/>
                  <w:tcBorders>
                    <w:top w:color="000000" w:sz="4" w:val="single"/>
                    <w:left w:color="000000" w:sz="4" w:val="single"/>
                    <w:bottom w:color="000000" w:sz="4" w:val="single"/>
                    <w:right w:color="000000" w:sz="4" w:val="single"/>
                  </w:tcBorders>
                </w:tcPr>
                <w:p w14:paraId="A5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6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96,0</w:t>
                  </w:r>
                </w:p>
              </w:tc>
              <w:tc>
                <w:tcPr>
                  <w:tcW w:type="dxa" w:w="876"/>
                  <w:tcBorders>
                    <w:top w:color="000000" w:sz="4" w:val="single"/>
                    <w:left w:color="000000" w:sz="4" w:val="single"/>
                    <w:bottom w:color="000000" w:sz="4" w:val="single"/>
                    <w:right w:color="000000" w:sz="4" w:val="single"/>
                  </w:tcBorders>
                </w:tcPr>
                <w:p w14:paraId="A8010000">
                  <w:pPr>
                    <w:ind/>
                    <w:jc w:val="center"/>
                    <w:rPr>
                      <w:sz w:val="20"/>
                    </w:rPr>
                  </w:pPr>
                  <w:r>
                    <w:rPr>
                      <w:sz w:val="20"/>
                    </w:rPr>
                    <w:t>128,</w:t>
                  </w:r>
                  <w:r>
                    <w:rPr>
                      <w:sz w:val="20"/>
                    </w:rPr>
                    <w:t>0</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F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0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1010000">
                  <w:r>
                    <w:t>местный бюджет</w:t>
                  </w:r>
                </w:p>
              </w:tc>
              <w:tc>
                <w:tcPr>
                  <w:tcW w:type="dxa" w:w="1331"/>
                  <w:tcBorders>
                    <w:top w:color="000000" w:sz="4" w:val="single"/>
                    <w:left w:color="000000" w:sz="4" w:val="single"/>
                    <w:bottom w:color="000000" w:sz="4" w:val="single"/>
                    <w:right w:color="000000" w:sz="4" w:val="single"/>
                  </w:tcBorders>
                </w:tcPr>
                <w:p w14:paraId="B2010000">
                  <w:pPr>
                    <w:ind w:firstLine="0" w:left="-57" w:right="-57"/>
                    <w:jc w:val="center"/>
                    <w:rPr>
                      <w:sz w:val="20"/>
                    </w:rPr>
                  </w:pPr>
                  <w:r>
                    <w:rPr>
                      <w:sz w:val="20"/>
                    </w:rPr>
                    <w:t>2 425,5</w:t>
                  </w:r>
                </w:p>
              </w:tc>
              <w:tc>
                <w:tcPr>
                  <w:tcW w:type="dxa" w:w="876"/>
                  <w:tcBorders>
                    <w:top w:color="000000" w:sz="4" w:val="single"/>
                    <w:left w:color="000000" w:sz="4" w:val="single"/>
                    <w:bottom w:color="000000" w:sz="4" w:val="single"/>
                    <w:right w:color="000000" w:sz="4" w:val="single"/>
                  </w:tcBorders>
                </w:tcPr>
                <w:p w14:paraId="B3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4010000">
                  <w:pPr>
                    <w:ind w:hanging="38" w:left="38" w:right="-66"/>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B5010000">
                  <w:pPr>
                    <w:rPr>
                      <w:sz w:val="20"/>
                    </w:rPr>
                  </w:pPr>
                  <w:r>
                    <w:rPr>
                      <w:sz w:val="20"/>
                    </w:rPr>
                    <w:t xml:space="preserve">   </w:t>
                  </w:r>
                  <w:r>
                    <w:rPr>
                      <w:sz w:val="20"/>
                    </w:rPr>
                    <w:t>96</w:t>
                  </w:r>
                  <w:r>
                    <w:rPr>
                      <w:sz w:val="20"/>
                    </w:rPr>
                    <w:t>,0</w:t>
                  </w:r>
                </w:p>
              </w:tc>
              <w:tc>
                <w:tcPr>
                  <w:tcW w:type="dxa" w:w="876"/>
                  <w:tcBorders>
                    <w:top w:color="000000" w:sz="4" w:val="single"/>
                    <w:left w:color="000000" w:sz="4" w:val="single"/>
                    <w:bottom w:color="000000" w:sz="4" w:val="single"/>
                    <w:right w:color="000000" w:sz="4" w:val="single"/>
                  </w:tcBorders>
                </w:tcPr>
                <w:p w14:paraId="B6010000">
                  <w:pPr>
                    <w:ind/>
                    <w:jc w:val="center"/>
                    <w:rPr>
                      <w:sz w:val="20"/>
                    </w:rPr>
                  </w:pPr>
                  <w:r>
                    <w:rPr>
                      <w:sz w:val="20"/>
                    </w:rPr>
                    <w:t>128,0</w:t>
                  </w:r>
                </w:p>
              </w:tc>
              <w:tc>
                <w:tcPr>
                  <w:tcW w:type="dxa" w:w="876"/>
                  <w:tcBorders>
                    <w:top w:color="000000" w:sz="4" w:val="single"/>
                    <w:left w:color="000000" w:sz="4" w:val="single"/>
                    <w:bottom w:color="000000" w:sz="4" w:val="single"/>
                    <w:right w:color="000000" w:sz="4" w:val="single"/>
                  </w:tcBorders>
                </w:tcPr>
                <w:p w14:paraId="B7010000">
                  <w:pPr>
                    <w:ind w:hanging="75" w:left="75" w:right="-122"/>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B8010000">
                  <w:pPr>
                    <w:ind w:hanging="87" w:left="87" w:right="-61"/>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9010000">
                  <w:r>
                    <w:rPr>
                      <w:sz w:val="20"/>
                    </w:rPr>
                    <w:t xml:space="preserve">    </w:t>
                  </w:r>
                  <w:r>
                    <w:rPr>
                      <w:sz w:val="20"/>
                    </w:rPr>
                    <w:t>50</w:t>
                  </w:r>
                  <w:r>
                    <w:rPr>
                      <w:sz w:val="20"/>
                    </w:rPr>
                    <w:t>,0</w:t>
                  </w:r>
                </w:p>
              </w:tc>
              <w:tc>
                <w:tcPr>
                  <w:tcW w:type="dxa" w:w="876"/>
                  <w:tcBorders>
                    <w:top w:color="000000" w:sz="4" w:val="single"/>
                    <w:left w:color="000000" w:sz="4" w:val="single"/>
                    <w:bottom w:color="000000" w:sz="4" w:val="single"/>
                    <w:right w:color="000000" w:sz="4" w:val="single"/>
                  </w:tcBorders>
                </w:tcPr>
                <w:p w14:paraId="BA010000">
                  <w:r>
                    <w:rPr>
                      <w:sz w:val="20"/>
                    </w:rPr>
                    <w:t xml:space="preserve">    </w:t>
                  </w:r>
                  <w:r>
                    <w:rPr>
                      <w:sz w:val="20"/>
                    </w:rPr>
                    <w:t>55</w:t>
                  </w:r>
                  <w:r>
                    <w:rPr>
                      <w:sz w:val="20"/>
                    </w:rPr>
                    <w:t>,0</w:t>
                  </w:r>
                </w:p>
              </w:tc>
              <w:tc>
                <w:tcPr>
                  <w:tcW w:type="dxa" w:w="876"/>
                  <w:tcBorders>
                    <w:top w:color="000000" w:sz="4" w:val="single"/>
                    <w:left w:color="000000" w:sz="4" w:val="single"/>
                    <w:bottom w:color="000000" w:sz="4" w:val="single"/>
                    <w:right w:color="000000" w:sz="4" w:val="single"/>
                  </w:tcBorders>
                </w:tcPr>
                <w:p w14:paraId="B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E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F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C0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C1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2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B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C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D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CE010000">
                  <w:pPr>
                    <w:pStyle w:val="Style_2"/>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CF010000">
                  <w:r>
                    <w:t xml:space="preserve">всего </w:t>
                  </w:r>
                </w:p>
              </w:tc>
              <w:tc>
                <w:tcPr>
                  <w:tcW w:type="dxa" w:w="1331"/>
                  <w:tcBorders>
                    <w:top w:color="000000" w:sz="4" w:val="single"/>
                    <w:left w:color="000000" w:sz="4" w:val="single"/>
                    <w:bottom w:color="000000" w:sz="4" w:val="single"/>
                    <w:right w:color="000000" w:sz="4" w:val="single"/>
                  </w:tcBorders>
                </w:tcPr>
                <w:p w14:paraId="D0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D1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2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3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4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C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D010000">
                  <w:r>
                    <w:t>местный бюджет</w:t>
                  </w:r>
                </w:p>
              </w:tc>
              <w:tc>
                <w:tcPr>
                  <w:tcW w:type="dxa" w:w="1331"/>
                  <w:tcBorders>
                    <w:top w:color="000000" w:sz="4" w:val="single"/>
                    <w:left w:color="000000" w:sz="4" w:val="single"/>
                    <w:bottom w:color="000000" w:sz="4" w:val="single"/>
                    <w:right w:color="000000" w:sz="4" w:val="single"/>
                  </w:tcBorders>
                </w:tcPr>
                <w:p w14:paraId="DE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DF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E0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1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2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A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B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EC010000">
                  <w:pPr>
                    <w:ind/>
                    <w:jc w:val="center"/>
                    <w:rPr>
                      <w:sz w:val="20"/>
                    </w:rPr>
                  </w:pPr>
                  <w:r>
                    <w:rPr>
                      <w:sz w:val="20"/>
                    </w:rPr>
                    <w:t>0,0</w:t>
                  </w:r>
                </w:p>
                <w:p w14:paraId="ED010000">
                  <w:pPr>
                    <w:ind/>
                    <w:jc w:val="center"/>
                    <w:rPr>
                      <w:sz w:val="20"/>
                    </w:rPr>
                  </w:pPr>
                </w:p>
              </w:tc>
              <w:tc>
                <w:tcPr>
                  <w:tcW w:type="dxa" w:w="876"/>
                  <w:tcBorders>
                    <w:top w:color="000000" w:sz="4" w:val="single"/>
                    <w:left w:color="000000" w:sz="4" w:val="single"/>
                    <w:bottom w:color="000000" w:sz="4" w:val="single"/>
                    <w:right w:color="000000" w:sz="4" w:val="single"/>
                  </w:tcBorders>
                </w:tcPr>
                <w:p w14:paraId="EE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EF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8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9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A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B010000">
                  <w:r>
                    <w:t xml:space="preserve">всего </w:t>
                  </w:r>
                </w:p>
              </w:tc>
              <w:tc>
                <w:tcPr>
                  <w:tcW w:type="dxa" w:w="1331"/>
                  <w:tcBorders>
                    <w:top w:color="000000" w:sz="4" w:val="single"/>
                    <w:left w:color="000000" w:sz="4" w:val="single"/>
                    <w:bottom w:color="000000" w:sz="4" w:val="single"/>
                    <w:right w:color="000000" w:sz="4" w:val="single"/>
                  </w:tcBorders>
                </w:tcPr>
                <w:p w14:paraId="FC010000">
                  <w:pPr>
                    <w:ind/>
                    <w:jc w:val="center"/>
                    <w:rPr>
                      <w:sz w:val="20"/>
                    </w:rPr>
                  </w:pPr>
                  <w:r>
                    <w:rPr>
                      <w:sz w:val="20"/>
                    </w:rPr>
                    <w:t>3123,2</w:t>
                  </w:r>
                </w:p>
              </w:tc>
              <w:tc>
                <w:tcPr>
                  <w:tcW w:type="dxa" w:w="876"/>
                  <w:tcBorders>
                    <w:top w:color="000000" w:sz="4" w:val="single"/>
                    <w:left w:color="000000" w:sz="4" w:val="single"/>
                    <w:bottom w:color="000000" w:sz="4" w:val="single"/>
                    <w:right w:color="000000" w:sz="4" w:val="single"/>
                  </w:tcBorders>
                </w:tcPr>
                <w:p w14:paraId="FD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FE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0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7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8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9020000">
                  <w:r>
                    <w:t>местный бюджет</w:t>
                  </w:r>
                </w:p>
              </w:tc>
              <w:tc>
                <w:tcPr>
                  <w:tcW w:type="dxa" w:w="1331"/>
                  <w:tcBorders>
                    <w:top w:color="000000" w:sz="4" w:val="single"/>
                    <w:left w:color="000000" w:sz="4" w:val="single"/>
                    <w:bottom w:color="000000" w:sz="4" w:val="single"/>
                    <w:right w:color="000000" w:sz="4" w:val="single"/>
                  </w:tcBorders>
                </w:tcPr>
                <w:p w14:paraId="0A020000">
                  <w:pPr>
                    <w:ind/>
                    <w:jc w:val="center"/>
                    <w:rPr>
                      <w:sz w:val="20"/>
                    </w:rPr>
                  </w:pPr>
                  <w:r>
                    <w:rPr>
                      <w:sz w:val="20"/>
                    </w:rPr>
                    <w:t>1763,2</w:t>
                  </w:r>
                </w:p>
              </w:tc>
              <w:tc>
                <w:tcPr>
                  <w:tcW w:type="dxa" w:w="876"/>
                  <w:tcBorders>
                    <w:top w:color="000000" w:sz="4" w:val="single"/>
                    <w:left w:color="000000" w:sz="4" w:val="single"/>
                    <w:bottom w:color="000000" w:sz="4" w:val="single"/>
                    <w:right w:color="000000" w:sz="4" w:val="single"/>
                  </w:tcBorders>
                </w:tcPr>
                <w:p w14:paraId="0B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E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6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702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18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9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A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4020000">
                  <w:pPr>
                    <w:ind w:firstLine="0" w:left="-57" w:right="-57"/>
                    <w:jc w:val="center"/>
                    <w:rPr>
                      <w:sz w:val="20"/>
                    </w:rPr>
                  </w:pPr>
                  <w:r>
                    <w:rPr>
                      <w:sz w:val="20"/>
                    </w:rPr>
                    <w:t>0,0</w:t>
                  </w:r>
                </w:p>
              </w:tc>
            </w:tr>
          </w:tbl>
          <w:p w14:paraId="25020000">
            <w:pPr>
              <w:ind/>
              <w:jc w:val="center"/>
            </w:pPr>
          </w:p>
          <w:p w14:paraId="26020000">
            <w:pPr>
              <w:ind/>
              <w:jc w:val="center"/>
            </w:pPr>
          </w:p>
        </w:tc>
      </w:tr>
    </w:tbl>
    <w:p w14:paraId="27020000">
      <w:pPr>
        <w:spacing w:line="280" w:lineRule="exact"/>
        <w:ind/>
      </w:pPr>
    </w:p>
    <w:sectPr>
      <w:footerReference r:id="rId1" w:type="default"/>
      <w:pgSz w:h="11906" w:orient="landscape" w:w="16838"/>
      <w:pgMar w:bottom="851" w:footer="567" w:gutter="0" w:header="397" w:left="851" w:right="53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xl91"/>
    <w:basedOn w:val="Style_4"/>
    <w:link w:val="Style_5_ch"/>
    <w:pPr>
      <w:spacing w:afterAutospacing="on" w:beforeAutospacing="on"/>
      <w:ind/>
      <w:jc w:val="center"/>
    </w:pPr>
    <w:rPr>
      <w:color w:val="000000"/>
    </w:rPr>
  </w:style>
  <w:style w:styleId="Style_5_ch" w:type="character">
    <w:name w:val="xl91"/>
    <w:basedOn w:val="Style_4_ch"/>
    <w:link w:val="Style_5"/>
    <w:rPr>
      <w:color w:val="000000"/>
    </w:rPr>
  </w:style>
  <w:style w:styleId="Style_6" w:type="paragraph">
    <w:name w:val="Normal (Web)"/>
    <w:basedOn w:val="Style_4"/>
    <w:link w:val="Style_6_ch"/>
    <w:pPr>
      <w:spacing w:after="30" w:before="30"/>
      <w:ind/>
    </w:pPr>
  </w:style>
  <w:style w:styleId="Style_6_ch" w:type="character">
    <w:name w:val="Normal (Web)"/>
    <w:basedOn w:val="Style_4_ch"/>
    <w:link w:val="Style_6"/>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ConsPlusNonformat"/>
    <w:link w:val="Style_8_ch"/>
    <w:pPr>
      <w:widowControl w:val="0"/>
      <w:ind/>
    </w:pPr>
    <w:rPr>
      <w:rFonts w:ascii="Courier New" w:hAnsi="Courier New"/>
    </w:rPr>
  </w:style>
  <w:style w:styleId="Style_8_ch" w:type="character">
    <w:name w:val="ConsPlusNonformat"/>
    <w:link w:val="Style_8"/>
    <w:rPr>
      <w:rFonts w:ascii="Courier New" w:hAnsi="Courier New"/>
    </w:rPr>
  </w:style>
  <w:style w:styleId="Style_9" w:type="paragraph">
    <w:name w:val="xl65"/>
    <w:basedOn w:val="Style_4"/>
    <w:link w:val="Style_9_ch"/>
    <w:pPr>
      <w:spacing w:afterAutospacing="on" w:beforeAutospacing="on"/>
      <w:ind/>
    </w:pPr>
  </w:style>
  <w:style w:styleId="Style_9_ch" w:type="character">
    <w:name w:val="xl65"/>
    <w:basedOn w:val="Style_4_ch"/>
    <w:link w:val="Style_9"/>
  </w:style>
  <w:style w:styleId="Style_10" w:type="paragraph">
    <w:name w:val="Body Text 2"/>
    <w:basedOn w:val="Style_4"/>
    <w:link w:val="Style_10_ch"/>
    <w:pPr>
      <w:ind w:firstLine="720" w:left="0"/>
      <w:jc w:val="both"/>
    </w:pPr>
    <w:rPr>
      <w:sz w:val="20"/>
    </w:rPr>
  </w:style>
  <w:style w:styleId="Style_10_ch" w:type="character">
    <w:name w:val="Body Text 2"/>
    <w:basedOn w:val="Style_4_ch"/>
    <w:link w:val="Style_10"/>
    <w:rPr>
      <w:sz w:val="20"/>
    </w:rPr>
  </w:style>
  <w:style w:styleId="Style_11" w:type="paragraph">
    <w:name w:val="Body Text Indent 3"/>
    <w:basedOn w:val="Style_4"/>
    <w:link w:val="Style_11_ch"/>
    <w:pPr>
      <w:spacing w:after="120"/>
      <w:ind w:firstLine="0" w:left="283"/>
      <w:jc w:val="both"/>
    </w:pPr>
    <w:rPr>
      <w:sz w:val="16"/>
    </w:rPr>
  </w:style>
  <w:style w:styleId="Style_11_ch" w:type="character">
    <w:name w:val="Body Text Indent 3"/>
    <w:basedOn w:val="Style_4_ch"/>
    <w:link w:val="Style_11"/>
    <w:rPr>
      <w:sz w:val="16"/>
    </w:rPr>
  </w:style>
  <w:style w:styleId="Style_12" w:type="paragraph">
    <w:name w:val="Body Text 2"/>
    <w:basedOn w:val="Style_4"/>
    <w:link w:val="Style_12_ch"/>
    <w:pPr>
      <w:spacing w:after="120" w:line="480" w:lineRule="auto"/>
      <w:ind/>
    </w:pPr>
  </w:style>
  <w:style w:styleId="Style_12_ch" w:type="character">
    <w:name w:val="Body Text 2"/>
    <w:basedOn w:val="Style_4_ch"/>
    <w:link w:val="Style_12"/>
  </w:style>
  <w:style w:styleId="Style_13" w:type="paragraph">
    <w:name w:val="toc 4"/>
    <w:next w:val="Style_4"/>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heading 7"/>
    <w:basedOn w:val="Style_4"/>
    <w:next w:val="Style_4"/>
    <w:link w:val="Style_14_ch"/>
    <w:uiPriority w:val="9"/>
    <w:qFormat/>
    <w:pPr>
      <w:keepNext w:val="1"/>
      <w:keepLines w:val="1"/>
      <w:spacing w:before="200" w:line="276" w:lineRule="auto"/>
      <w:ind/>
      <w:outlineLvl w:val="6"/>
    </w:pPr>
    <w:rPr>
      <w:rFonts w:ascii="Cambria" w:hAnsi="Cambria"/>
      <w:i w:val="1"/>
      <w:color w:val="404040"/>
      <w:sz w:val="22"/>
    </w:rPr>
  </w:style>
  <w:style w:styleId="Style_14_ch" w:type="character">
    <w:name w:val="heading 7"/>
    <w:basedOn w:val="Style_4_ch"/>
    <w:link w:val="Style_14"/>
    <w:rPr>
      <w:rFonts w:ascii="Cambria" w:hAnsi="Cambria"/>
      <w:i w:val="1"/>
      <w:color w:val="404040"/>
      <w:sz w:val="22"/>
    </w:rPr>
  </w:style>
  <w:style w:styleId="Style_15" w:type="paragraph">
    <w:name w:val="Balloon Text"/>
    <w:basedOn w:val="Style_4"/>
    <w:link w:val="Style_15_ch"/>
    <w:rPr>
      <w:rFonts w:ascii="Tahoma" w:hAnsi="Tahoma"/>
      <w:sz w:val="16"/>
    </w:rPr>
  </w:style>
  <w:style w:styleId="Style_15_ch" w:type="character">
    <w:name w:val="Balloon Text"/>
    <w:basedOn w:val="Style_4_ch"/>
    <w:link w:val="Style_15"/>
    <w:rPr>
      <w:rFonts w:ascii="Tahoma" w:hAnsi="Tahoma"/>
      <w:sz w:val="16"/>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4"/>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xl74"/>
    <w:basedOn w:val="Style_4"/>
    <w:link w:val="Style_18_ch"/>
    <w:pPr>
      <w:spacing w:afterAutospacing="on" w:beforeAutospacing="on"/>
      <w:ind/>
      <w:jc w:val="center"/>
    </w:pPr>
    <w:rPr>
      <w:b w:val="1"/>
      <w:color w:val="000000"/>
      <w:sz w:val="28"/>
    </w:rPr>
  </w:style>
  <w:style w:styleId="Style_18_ch" w:type="character">
    <w:name w:val="xl74"/>
    <w:basedOn w:val="Style_4_ch"/>
    <w:link w:val="Style_18"/>
    <w:rPr>
      <w:b w:val="1"/>
      <w:color w:val="000000"/>
      <w:sz w:val="28"/>
    </w:rPr>
  </w:style>
  <w:style w:styleId="Style_19" w:type="paragraph">
    <w:name w:val="Body Text"/>
    <w:basedOn w:val="Style_4"/>
    <w:link w:val="Style_19_ch"/>
    <w:rPr>
      <w:sz w:val="28"/>
    </w:rPr>
  </w:style>
  <w:style w:styleId="Style_19_ch" w:type="character">
    <w:name w:val="Body Text"/>
    <w:basedOn w:val="Style_4_ch"/>
    <w:link w:val="Style_19"/>
    <w:rPr>
      <w:sz w:val="28"/>
    </w:rPr>
  </w:style>
  <w:style w:styleId="Style_20" w:type="paragraph">
    <w:name w:val="xl77"/>
    <w:basedOn w:val="Style_4"/>
    <w:link w:val="Style_20_ch"/>
    <w:pPr>
      <w:spacing w:afterAutospacing="on" w:beforeAutospacing="on"/>
      <w:ind/>
      <w:jc w:val="center"/>
    </w:pPr>
    <w:rPr>
      <w:color w:val="000000"/>
      <w:sz w:val="28"/>
    </w:rPr>
  </w:style>
  <w:style w:styleId="Style_20_ch" w:type="character">
    <w:name w:val="xl77"/>
    <w:basedOn w:val="Style_4_ch"/>
    <w:link w:val="Style_20"/>
    <w:rPr>
      <w:color w:val="000000"/>
      <w:sz w:val="28"/>
    </w:rPr>
  </w:style>
  <w:style w:styleId="Style_21" w:type="paragraph">
    <w:name w:val="xl70"/>
    <w:basedOn w:val="Style_4"/>
    <w:link w:val="Style_21_ch"/>
    <w:pPr>
      <w:spacing w:afterAutospacing="on" w:beforeAutospacing="on"/>
      <w:ind/>
      <w:jc w:val="center"/>
    </w:pPr>
    <w:rPr>
      <w:color w:val="000000"/>
      <w:sz w:val="28"/>
    </w:rPr>
  </w:style>
  <w:style w:styleId="Style_21_ch" w:type="character">
    <w:name w:val="xl70"/>
    <w:basedOn w:val="Style_4_ch"/>
    <w:link w:val="Style_21"/>
    <w:rPr>
      <w:color w:val="000000"/>
      <w:sz w:val="28"/>
    </w:rPr>
  </w:style>
  <w:style w:styleId="Style_22" w:type="paragraph">
    <w:name w:val="Текст Знак1"/>
    <w:link w:val="Style_22_ch"/>
    <w:rPr>
      <w:rFonts w:ascii="Courier New" w:hAnsi="Courier New"/>
    </w:rPr>
  </w:style>
  <w:style w:styleId="Style_22_ch" w:type="character">
    <w:name w:val="Текст Знак1"/>
    <w:link w:val="Style_22"/>
    <w:rPr>
      <w:rFonts w:ascii="Courier New" w:hAnsi="Courier New"/>
    </w:rPr>
  </w:style>
  <w:style w:styleId="Style_23" w:type="paragraph">
    <w:name w:val="heading 3"/>
    <w:basedOn w:val="Style_4"/>
    <w:next w:val="Style_4"/>
    <w:link w:val="Style_23_ch"/>
    <w:uiPriority w:val="9"/>
    <w:qFormat/>
    <w:pPr>
      <w:keepNext w:val="1"/>
      <w:spacing w:after="60" w:before="240"/>
      <w:ind/>
      <w:outlineLvl w:val="2"/>
    </w:pPr>
    <w:rPr>
      <w:rFonts w:ascii="Arial" w:hAnsi="Arial"/>
      <w:b w:val="1"/>
      <w:sz w:val="26"/>
    </w:rPr>
  </w:style>
  <w:style w:styleId="Style_23_ch" w:type="character">
    <w:name w:val="heading 3"/>
    <w:basedOn w:val="Style_4_ch"/>
    <w:link w:val="Style_23"/>
    <w:rPr>
      <w:rFonts w:ascii="Arial" w:hAnsi="Arial"/>
      <w:b w:val="1"/>
      <w:sz w:val="26"/>
    </w:rPr>
  </w:style>
  <w:style w:styleId="Style_24" w:type="paragraph">
    <w:name w:val="Quote"/>
    <w:basedOn w:val="Style_4"/>
    <w:next w:val="Style_4"/>
    <w:link w:val="Style_24_ch"/>
    <w:pPr>
      <w:spacing w:after="200" w:line="276" w:lineRule="auto"/>
      <w:ind/>
    </w:pPr>
    <w:rPr>
      <w:rFonts w:ascii="Calibri" w:hAnsi="Calibri"/>
      <w:i w:val="1"/>
      <w:color w:val="000000"/>
      <w:sz w:val="22"/>
    </w:rPr>
  </w:style>
  <w:style w:styleId="Style_24_ch" w:type="character">
    <w:name w:val="Quote"/>
    <w:basedOn w:val="Style_4_ch"/>
    <w:link w:val="Style_24"/>
    <w:rPr>
      <w:rFonts w:ascii="Calibri" w:hAnsi="Calibri"/>
      <w:i w:val="1"/>
      <w:color w:val="000000"/>
      <w:sz w:val="22"/>
    </w:rPr>
  </w:style>
  <w:style w:styleId="Style_25" w:type="paragraph">
    <w:name w:val="xl86"/>
    <w:basedOn w:val="Style_4"/>
    <w:link w:val="Style_25_ch"/>
    <w:pPr>
      <w:spacing w:afterAutospacing="on" w:beforeAutospacing="on"/>
      <w:ind/>
      <w:jc w:val="center"/>
    </w:pPr>
    <w:rPr>
      <w:color w:val="000000"/>
    </w:rPr>
  </w:style>
  <w:style w:styleId="Style_25_ch" w:type="character">
    <w:name w:val="xl86"/>
    <w:basedOn w:val="Style_4_ch"/>
    <w:link w:val="Style_25"/>
    <w:rPr>
      <w:color w:val="000000"/>
    </w:rPr>
  </w:style>
  <w:style w:styleId="Style_26" w:type="paragraph">
    <w:name w:val="Абзац списка1"/>
    <w:basedOn w:val="Style_4"/>
    <w:link w:val="Style_26_ch"/>
    <w:pPr>
      <w:spacing w:after="200" w:line="276" w:lineRule="auto"/>
      <w:ind w:firstLine="0" w:left="720"/>
    </w:pPr>
    <w:rPr>
      <w:rFonts w:ascii="Calibri" w:hAnsi="Calibri"/>
      <w:sz w:val="22"/>
    </w:rPr>
  </w:style>
  <w:style w:styleId="Style_26_ch" w:type="character">
    <w:name w:val="Абзац списка1"/>
    <w:basedOn w:val="Style_4_ch"/>
    <w:link w:val="Style_26"/>
    <w:rPr>
      <w:rFonts w:ascii="Calibri" w:hAnsi="Calibri"/>
      <w:sz w:val="22"/>
    </w:rPr>
  </w:style>
  <w:style w:styleId="Style_27" w:type="paragraph">
    <w:name w:val="header"/>
    <w:basedOn w:val="Style_4"/>
    <w:link w:val="Style_27_ch"/>
    <w:pPr>
      <w:tabs>
        <w:tab w:leader="none" w:pos="4536" w:val="center"/>
        <w:tab w:leader="none" w:pos="9072" w:val="right"/>
      </w:tabs>
      <w:ind/>
    </w:pPr>
    <w:rPr>
      <w:sz w:val="28"/>
    </w:rPr>
  </w:style>
  <w:style w:styleId="Style_27_ch" w:type="character">
    <w:name w:val="header"/>
    <w:basedOn w:val="Style_4_ch"/>
    <w:link w:val="Style_27"/>
    <w:rPr>
      <w:sz w:val="28"/>
    </w:rPr>
  </w:style>
  <w:style w:styleId="Style_28" w:type="paragraph">
    <w:name w:val="heading 9"/>
    <w:basedOn w:val="Style_4"/>
    <w:next w:val="Style_4"/>
    <w:link w:val="Style_28_ch"/>
    <w:uiPriority w:val="9"/>
    <w:qFormat/>
    <w:pPr>
      <w:keepNext w:val="1"/>
      <w:keepLines w:val="1"/>
      <w:spacing w:before="200" w:line="276" w:lineRule="auto"/>
      <w:ind/>
      <w:outlineLvl w:val="8"/>
    </w:pPr>
    <w:rPr>
      <w:rFonts w:ascii="Cambria" w:hAnsi="Cambria"/>
      <w:i w:val="1"/>
      <w:color w:val="404040"/>
      <w:sz w:val="20"/>
    </w:rPr>
  </w:style>
  <w:style w:styleId="Style_28_ch" w:type="character">
    <w:name w:val="heading 9"/>
    <w:basedOn w:val="Style_4_ch"/>
    <w:link w:val="Style_28"/>
    <w:rPr>
      <w:rFonts w:ascii="Cambria" w:hAnsi="Cambria"/>
      <w:i w:val="1"/>
      <w:color w:val="404040"/>
      <w:sz w:val="20"/>
    </w:rPr>
  </w:style>
  <w:style w:styleId="Style_29" w:type="paragraph">
    <w:name w:val="xl82"/>
    <w:basedOn w:val="Style_4"/>
    <w:link w:val="Style_29_ch"/>
    <w:pPr>
      <w:spacing w:afterAutospacing="on" w:beforeAutospacing="on"/>
      <w:ind/>
      <w:jc w:val="center"/>
    </w:pPr>
    <w:rPr>
      <w:color w:val="000000"/>
      <w:sz w:val="28"/>
    </w:rPr>
  </w:style>
  <w:style w:styleId="Style_29_ch" w:type="character">
    <w:name w:val="xl82"/>
    <w:basedOn w:val="Style_4_ch"/>
    <w:link w:val="Style_29"/>
    <w:rPr>
      <w:color w:val="000000"/>
      <w:sz w:val="28"/>
    </w:rPr>
  </w:style>
  <w:style w:styleId="Style_30" w:type="paragraph">
    <w:name w:val="xl68"/>
    <w:basedOn w:val="Style_4"/>
    <w:link w:val="Style_30_ch"/>
    <w:pPr>
      <w:spacing w:afterAutospacing="on" w:beforeAutospacing="on"/>
      <w:ind/>
      <w:jc w:val="center"/>
    </w:pPr>
    <w:rPr>
      <w:color w:val="000000"/>
      <w:sz w:val="28"/>
    </w:rPr>
  </w:style>
  <w:style w:styleId="Style_30_ch" w:type="character">
    <w:name w:val="xl68"/>
    <w:basedOn w:val="Style_4_ch"/>
    <w:link w:val="Style_30"/>
    <w:rPr>
      <w:color w:val="000000"/>
      <w:sz w:val="28"/>
    </w:rPr>
  </w:style>
  <w:style w:styleId="Style_31" w:type="paragraph">
    <w:name w:val="xl85"/>
    <w:basedOn w:val="Style_4"/>
    <w:link w:val="Style_31_ch"/>
    <w:pPr>
      <w:spacing w:afterAutospacing="on" w:beforeAutospacing="on"/>
      <w:ind/>
      <w:jc w:val="center"/>
    </w:pPr>
    <w:rPr>
      <w:color w:val="000000"/>
    </w:rPr>
  </w:style>
  <w:style w:styleId="Style_31_ch" w:type="character">
    <w:name w:val="xl85"/>
    <w:basedOn w:val="Style_4_ch"/>
    <w:link w:val="Style_31"/>
    <w:rPr>
      <w:color w:val="000000"/>
    </w:rPr>
  </w:style>
  <w:style w:styleId="Style_32" w:type="paragraph">
    <w:name w:val="xl89"/>
    <w:basedOn w:val="Style_4"/>
    <w:link w:val="Style_32_ch"/>
    <w:pPr>
      <w:spacing w:afterAutospacing="on" w:beforeAutospacing="on"/>
      <w:ind/>
      <w:jc w:val="center"/>
    </w:pPr>
    <w:rPr>
      <w:color w:val="000000"/>
    </w:rPr>
  </w:style>
  <w:style w:styleId="Style_32_ch" w:type="character">
    <w:name w:val="xl89"/>
    <w:basedOn w:val="Style_4_ch"/>
    <w:link w:val="Style_32"/>
    <w:rPr>
      <w:color w:val="000000"/>
    </w:rPr>
  </w:style>
  <w:style w:styleId="Style_33" w:type="paragraph">
    <w:name w:val="xl79"/>
    <w:basedOn w:val="Style_4"/>
    <w:link w:val="Style_33_ch"/>
    <w:pPr>
      <w:spacing w:afterAutospacing="on" w:beforeAutospacing="on"/>
      <w:ind/>
      <w:jc w:val="center"/>
    </w:pPr>
    <w:rPr>
      <w:b w:val="1"/>
      <w:color w:val="000000"/>
      <w:sz w:val="28"/>
    </w:rPr>
  </w:style>
  <w:style w:styleId="Style_33_ch" w:type="character">
    <w:name w:val="xl79"/>
    <w:basedOn w:val="Style_4_ch"/>
    <w:link w:val="Style_33"/>
    <w:rPr>
      <w:b w:val="1"/>
      <w:color w:val="000000"/>
      <w:sz w:val="28"/>
    </w:rPr>
  </w:style>
  <w:style w:styleId="Style_34" w:type="paragraph">
    <w:name w:val="xl66"/>
    <w:basedOn w:val="Style_4"/>
    <w:link w:val="Style_34_ch"/>
    <w:pPr>
      <w:spacing w:afterAutospacing="on" w:beforeAutospacing="on"/>
      <w:ind/>
      <w:jc w:val="center"/>
    </w:pPr>
  </w:style>
  <w:style w:styleId="Style_34_ch" w:type="character">
    <w:name w:val="xl66"/>
    <w:basedOn w:val="Style_4_ch"/>
    <w:link w:val="Style_34"/>
  </w:style>
  <w:style w:styleId="Style_35" w:type="paragraph">
    <w:name w:val="Body Text Indent"/>
    <w:basedOn w:val="Style_4"/>
    <w:link w:val="Style_35_ch"/>
    <w:pPr>
      <w:ind w:firstLine="709" w:left="0"/>
      <w:jc w:val="both"/>
    </w:pPr>
    <w:rPr>
      <w:sz w:val="28"/>
    </w:rPr>
  </w:style>
  <w:style w:styleId="Style_35_ch" w:type="character">
    <w:name w:val="Body Text Indent"/>
    <w:basedOn w:val="Style_4_ch"/>
    <w:link w:val="Style_35"/>
    <w:rPr>
      <w:sz w:val="28"/>
    </w:rPr>
  </w:style>
  <w:style w:styleId="Style_36" w:type="paragraph">
    <w:name w:val="Intense Quote"/>
    <w:basedOn w:val="Style_4"/>
    <w:next w:val="Style_4"/>
    <w:link w:val="Style_36_ch"/>
    <w:pPr>
      <w:spacing w:after="280" w:before="200" w:line="276" w:lineRule="auto"/>
      <w:ind w:firstLine="0" w:left="936" w:right="936"/>
    </w:pPr>
    <w:rPr>
      <w:rFonts w:ascii="Calibri" w:hAnsi="Calibri"/>
      <w:b w:val="1"/>
      <w:i w:val="1"/>
      <w:color w:val="4F81BD"/>
      <w:sz w:val="22"/>
    </w:rPr>
  </w:style>
  <w:style w:styleId="Style_36_ch" w:type="character">
    <w:name w:val="Intense Quote"/>
    <w:basedOn w:val="Style_4_ch"/>
    <w:link w:val="Style_36"/>
    <w:rPr>
      <w:rFonts w:ascii="Calibri" w:hAnsi="Calibri"/>
      <w:b w:val="1"/>
      <w:i w:val="1"/>
      <w:color w:val="4F81BD"/>
      <w:sz w:val="22"/>
    </w:rPr>
  </w:style>
  <w:style w:styleId="Style_37" w:type="paragraph">
    <w:name w:val="Plain Text"/>
    <w:basedOn w:val="Style_4"/>
    <w:link w:val="Style_37_ch"/>
    <w:rPr>
      <w:rFonts w:ascii="Courier New" w:hAnsi="Courier New"/>
      <w:sz w:val="20"/>
    </w:rPr>
  </w:style>
  <w:style w:styleId="Style_37_ch" w:type="character">
    <w:name w:val="Plain Text"/>
    <w:basedOn w:val="Style_4_ch"/>
    <w:link w:val="Style_37"/>
    <w:rPr>
      <w:rFonts w:ascii="Courier New" w:hAnsi="Courier New"/>
      <w:sz w:val="20"/>
    </w:rPr>
  </w:style>
  <w:style w:styleId="Style_38" w:type="paragraph">
    <w:name w:val="xl78"/>
    <w:basedOn w:val="Style_4"/>
    <w:link w:val="Style_38_ch"/>
    <w:pPr>
      <w:spacing w:afterAutospacing="on" w:beforeAutospacing="on"/>
      <w:ind/>
      <w:jc w:val="both"/>
    </w:pPr>
    <w:rPr>
      <w:b w:val="1"/>
      <w:sz w:val="28"/>
    </w:rPr>
  </w:style>
  <w:style w:styleId="Style_38_ch" w:type="character">
    <w:name w:val="xl78"/>
    <w:basedOn w:val="Style_4_ch"/>
    <w:link w:val="Style_38"/>
    <w:rPr>
      <w:b w:val="1"/>
      <w:sz w:val="28"/>
    </w:rPr>
  </w:style>
  <w:style w:styleId="Style_39" w:type="paragraph">
    <w:name w:val="caption"/>
    <w:basedOn w:val="Style_4"/>
    <w:next w:val="Style_4"/>
    <w:link w:val="Style_39_ch"/>
    <w:pPr>
      <w:spacing w:before="120"/>
      <w:ind/>
      <w:jc w:val="center"/>
    </w:pPr>
    <w:rPr>
      <w:b w:val="1"/>
      <w:sz w:val="28"/>
    </w:rPr>
  </w:style>
  <w:style w:styleId="Style_39_ch" w:type="character">
    <w:name w:val="caption"/>
    <w:basedOn w:val="Style_4_ch"/>
    <w:link w:val="Style_39"/>
    <w:rPr>
      <w:b w:val="1"/>
      <w:sz w:val="28"/>
    </w:rPr>
  </w:style>
  <w:style w:styleId="Style_40" w:type="paragraph">
    <w:name w:val="toc 3"/>
    <w:next w:val="Style_4"/>
    <w:link w:val="Style_40_ch"/>
    <w:uiPriority w:val="39"/>
    <w:pPr>
      <w:ind w:firstLine="0" w:left="400"/>
      <w:jc w:val="left"/>
    </w:pPr>
    <w:rPr>
      <w:rFonts w:ascii="XO Thames" w:hAnsi="XO Thames"/>
      <w:sz w:val="28"/>
    </w:rPr>
  </w:style>
  <w:style w:styleId="Style_40_ch" w:type="character">
    <w:name w:val="toc 3"/>
    <w:link w:val="Style_40"/>
    <w:rPr>
      <w:rFonts w:ascii="XO Thames" w:hAnsi="XO Thames"/>
      <w:sz w:val="28"/>
    </w:rPr>
  </w:style>
  <w:style w:styleId="Style_41" w:type="paragraph">
    <w:name w:val="FollowedHyperlink"/>
    <w:link w:val="Style_41_ch"/>
    <w:rPr>
      <w:color w:val="800080"/>
      <w:u w:val="single"/>
    </w:rPr>
  </w:style>
  <w:style w:styleId="Style_41_ch" w:type="character">
    <w:name w:val="FollowedHyperlink"/>
    <w:link w:val="Style_41"/>
    <w:rPr>
      <w:color w:val="800080"/>
      <w:u w:val="single"/>
    </w:rPr>
  </w:style>
  <w:style w:styleId="Style_42" w:type="paragraph">
    <w:name w:val="HTML Preformatted"/>
    <w:basedOn w:val="Style_4"/>
    <w:link w:val="Style_4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42_ch" w:type="character">
    <w:name w:val="HTML Preformatted"/>
    <w:basedOn w:val="Style_4_ch"/>
    <w:link w:val="Style_42"/>
    <w:rPr>
      <w:rFonts w:ascii="Courier New" w:hAnsi="Courier New"/>
      <w:sz w:val="20"/>
    </w:rPr>
  </w:style>
  <w:style w:styleId="Style_43" w:type="paragraph">
    <w:name w:val="xl87"/>
    <w:basedOn w:val="Style_4"/>
    <w:link w:val="Style_43_ch"/>
    <w:pPr>
      <w:spacing w:afterAutospacing="on" w:beforeAutospacing="on"/>
      <w:ind/>
      <w:jc w:val="center"/>
    </w:pPr>
    <w:rPr>
      <w:color w:val="000000"/>
    </w:rPr>
  </w:style>
  <w:style w:styleId="Style_43_ch" w:type="character">
    <w:name w:val="xl87"/>
    <w:basedOn w:val="Style_4_ch"/>
    <w:link w:val="Style_43"/>
    <w:rPr>
      <w:color w:val="000000"/>
    </w:rPr>
  </w:style>
  <w:style w:styleId="Style_44" w:type="paragraph">
    <w:name w:val="Заголовок статьи"/>
    <w:basedOn w:val="Style_4"/>
    <w:next w:val="Style_4"/>
    <w:link w:val="Style_44_ch"/>
    <w:pPr>
      <w:ind w:hanging="892" w:left="1612"/>
      <w:jc w:val="both"/>
    </w:pPr>
    <w:rPr>
      <w:rFonts w:ascii="Arial" w:hAnsi="Arial"/>
    </w:rPr>
  </w:style>
  <w:style w:styleId="Style_44_ch" w:type="character">
    <w:name w:val="Заголовок статьи"/>
    <w:basedOn w:val="Style_4_ch"/>
    <w:link w:val="Style_44"/>
    <w:rPr>
      <w:rFonts w:ascii="Arial" w:hAnsi="Arial"/>
    </w:rPr>
  </w:style>
  <w:style w:styleId="Style_45" w:type="paragraph">
    <w:name w:val="Body Text Indent 2"/>
    <w:basedOn w:val="Style_4"/>
    <w:link w:val="Style_45_ch"/>
    <w:pPr>
      <w:widowControl w:val="0"/>
      <w:spacing w:after="120" w:line="480" w:lineRule="auto"/>
      <w:ind w:firstLine="0" w:left="283"/>
    </w:pPr>
    <w:rPr>
      <w:sz w:val="20"/>
    </w:rPr>
  </w:style>
  <w:style w:styleId="Style_45_ch" w:type="character">
    <w:name w:val="Body Text Indent 2"/>
    <w:basedOn w:val="Style_4_ch"/>
    <w:link w:val="Style_45"/>
    <w:rPr>
      <w:sz w:val="20"/>
    </w:rPr>
  </w:style>
  <w:style w:styleId="Style_46" w:type="paragraph">
    <w:name w:val="endnote text"/>
    <w:basedOn w:val="Style_4"/>
    <w:link w:val="Style_46_ch"/>
    <w:rPr>
      <w:sz w:val="20"/>
    </w:rPr>
  </w:style>
  <w:style w:styleId="Style_46_ch" w:type="character">
    <w:name w:val="endnote text"/>
    <w:basedOn w:val="Style_4_ch"/>
    <w:link w:val="Style_46"/>
    <w:rPr>
      <w:sz w:val="20"/>
    </w:rPr>
  </w:style>
  <w:style w:styleId="Style_47" w:type="paragraph">
    <w:name w:val="heading 5"/>
    <w:basedOn w:val="Style_4"/>
    <w:next w:val="Style_4"/>
    <w:link w:val="Style_47_ch"/>
    <w:uiPriority w:val="9"/>
    <w:qFormat/>
    <w:pPr>
      <w:keepNext w:val="1"/>
      <w:keepLines w:val="1"/>
      <w:spacing w:before="200" w:line="276" w:lineRule="auto"/>
      <w:ind/>
      <w:outlineLvl w:val="4"/>
    </w:pPr>
    <w:rPr>
      <w:rFonts w:ascii="Cambria" w:hAnsi="Cambria"/>
      <w:color w:val="243F60"/>
      <w:sz w:val="22"/>
    </w:rPr>
  </w:style>
  <w:style w:styleId="Style_47_ch" w:type="character">
    <w:name w:val="heading 5"/>
    <w:basedOn w:val="Style_4_ch"/>
    <w:link w:val="Style_47"/>
    <w:rPr>
      <w:rFonts w:ascii="Cambria" w:hAnsi="Cambria"/>
      <w:color w:val="243F60"/>
      <w:sz w:val="22"/>
    </w:rPr>
  </w:style>
  <w:style w:styleId="Style_48" w:type="paragraph">
    <w:name w:val="xl76"/>
    <w:basedOn w:val="Style_4"/>
    <w:link w:val="Style_48_ch"/>
    <w:pPr>
      <w:spacing w:afterAutospacing="on" w:beforeAutospacing="on"/>
      <w:ind/>
    </w:pPr>
    <w:rPr>
      <w:b w:val="1"/>
    </w:rPr>
  </w:style>
  <w:style w:styleId="Style_48_ch" w:type="character">
    <w:name w:val="xl76"/>
    <w:basedOn w:val="Style_4_ch"/>
    <w:link w:val="Style_48"/>
    <w:rPr>
      <w:b w:val="1"/>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49" w:type="paragraph">
    <w:name w:val="heading 1"/>
    <w:basedOn w:val="Style_4"/>
    <w:next w:val="Style_4"/>
    <w:link w:val="Style_49_ch"/>
    <w:uiPriority w:val="9"/>
    <w:qFormat/>
    <w:pPr>
      <w:keepNext w:val="1"/>
      <w:ind/>
      <w:jc w:val="center"/>
      <w:outlineLvl w:val="0"/>
    </w:pPr>
    <w:rPr>
      <w:sz w:val="44"/>
    </w:rPr>
  </w:style>
  <w:style w:styleId="Style_49_ch" w:type="character">
    <w:name w:val="heading 1"/>
    <w:basedOn w:val="Style_4_ch"/>
    <w:link w:val="Style_49"/>
    <w:rPr>
      <w:sz w:val="44"/>
    </w:rPr>
  </w:style>
  <w:style w:styleId="Style_50" w:type="paragraph">
    <w:name w:val="Основной текст 21"/>
    <w:basedOn w:val="Style_4"/>
    <w:link w:val="Style_50_ch"/>
    <w:pPr>
      <w:widowControl w:val="0"/>
      <w:ind/>
      <w:jc w:val="both"/>
    </w:pPr>
    <w:rPr>
      <w:sz w:val="28"/>
    </w:rPr>
  </w:style>
  <w:style w:styleId="Style_50_ch" w:type="character">
    <w:name w:val="Основной текст 21"/>
    <w:basedOn w:val="Style_4_ch"/>
    <w:link w:val="Style_50"/>
    <w:rPr>
      <w:sz w:val="28"/>
    </w:rPr>
  </w:style>
  <w:style w:styleId="Style_51" w:type="paragraph">
    <w:name w:val="xl93"/>
    <w:basedOn w:val="Style_4"/>
    <w:link w:val="Style_51_ch"/>
    <w:pPr>
      <w:spacing w:afterAutospacing="on" w:beforeAutospacing="on"/>
      <w:ind/>
    </w:pPr>
    <w:rPr>
      <w:b w:val="1"/>
      <w:color w:val="000000"/>
    </w:rPr>
  </w:style>
  <w:style w:styleId="Style_51_ch" w:type="character">
    <w:name w:val="xl93"/>
    <w:basedOn w:val="Style_4_ch"/>
    <w:link w:val="Style_51"/>
    <w:rPr>
      <w:b w:val="1"/>
      <w:color w:val="000000"/>
    </w:rPr>
  </w:style>
  <w:style w:styleId="Style_52" w:type="paragraph">
    <w:name w:val="xl80"/>
    <w:basedOn w:val="Style_4"/>
    <w:link w:val="Style_52_ch"/>
    <w:pPr>
      <w:spacing w:afterAutospacing="on" w:beforeAutospacing="on"/>
      <w:ind/>
      <w:jc w:val="center"/>
    </w:pPr>
    <w:rPr>
      <w:b w:val="1"/>
      <w:color w:val="000000"/>
      <w:sz w:val="28"/>
    </w:rPr>
  </w:style>
  <w:style w:styleId="Style_52_ch" w:type="character">
    <w:name w:val="xl80"/>
    <w:basedOn w:val="Style_4_ch"/>
    <w:link w:val="Style_52"/>
    <w:rPr>
      <w:b w:val="1"/>
      <w:color w:val="000000"/>
      <w:sz w:val="28"/>
    </w:rPr>
  </w:style>
  <w:style w:styleId="Style_53" w:type="paragraph">
    <w:name w:val="Hyperlink"/>
    <w:link w:val="Style_53_ch"/>
    <w:rPr>
      <w:color w:val="0000FF"/>
      <w:u w:val="single"/>
    </w:rPr>
  </w:style>
  <w:style w:styleId="Style_53_ch" w:type="character">
    <w:name w:val="Hyperlink"/>
    <w:link w:val="Style_53"/>
    <w:rPr>
      <w:color w:val="0000FF"/>
      <w:u w:val="single"/>
    </w:rPr>
  </w:style>
  <w:style w:styleId="Style_54" w:type="paragraph">
    <w:name w:val="Footnote"/>
    <w:basedOn w:val="Style_4"/>
    <w:link w:val="Style_54_ch"/>
  </w:style>
  <w:style w:styleId="Style_54_ch" w:type="character">
    <w:name w:val="Footnote"/>
    <w:basedOn w:val="Style_4_ch"/>
    <w:link w:val="Style_54"/>
  </w:style>
  <w:style w:styleId="Style_55" w:type="paragraph">
    <w:name w:val="heading 8"/>
    <w:basedOn w:val="Style_4"/>
    <w:next w:val="Style_4"/>
    <w:link w:val="Style_55_ch"/>
    <w:uiPriority w:val="9"/>
    <w:qFormat/>
    <w:pPr>
      <w:keepNext w:val="1"/>
      <w:keepLines w:val="1"/>
      <w:spacing w:before="200" w:line="276" w:lineRule="auto"/>
      <w:ind/>
      <w:outlineLvl w:val="7"/>
    </w:pPr>
    <w:rPr>
      <w:rFonts w:ascii="Cambria" w:hAnsi="Cambria"/>
      <w:color w:val="404040"/>
      <w:sz w:val="20"/>
    </w:rPr>
  </w:style>
  <w:style w:styleId="Style_55_ch" w:type="character">
    <w:name w:val="heading 8"/>
    <w:basedOn w:val="Style_4_ch"/>
    <w:link w:val="Style_55"/>
    <w:rPr>
      <w:rFonts w:ascii="Cambria" w:hAnsi="Cambria"/>
      <w:color w:val="404040"/>
      <w:sz w:val="20"/>
    </w:rPr>
  </w:style>
  <w:style w:styleId="Style_56" w:type="paragraph">
    <w:name w:val="ConsPlusTitle"/>
    <w:link w:val="Style_56_ch"/>
    <w:pPr>
      <w:widowControl w:val="0"/>
      <w:ind/>
    </w:pPr>
    <w:rPr>
      <w:rFonts w:ascii="Arial" w:hAnsi="Arial"/>
      <w:b w:val="1"/>
    </w:rPr>
  </w:style>
  <w:style w:styleId="Style_56_ch" w:type="character">
    <w:name w:val="ConsPlusTitle"/>
    <w:link w:val="Style_56"/>
    <w:rPr>
      <w:rFonts w:ascii="Arial" w:hAnsi="Arial"/>
      <w:b w:val="1"/>
    </w:rPr>
  </w:style>
  <w:style w:styleId="Style_57" w:type="paragraph">
    <w:name w:val="Intense Quote"/>
    <w:basedOn w:val="Style_4"/>
    <w:next w:val="Style_4"/>
    <w:link w:val="Style_57_ch"/>
    <w:pPr>
      <w:spacing w:after="280" w:before="200" w:line="276" w:lineRule="auto"/>
      <w:ind w:firstLine="0" w:left="936" w:right="936"/>
    </w:pPr>
    <w:rPr>
      <w:rFonts w:ascii="Calibri" w:hAnsi="Calibri"/>
      <w:b w:val="1"/>
      <w:i w:val="1"/>
      <w:color w:val="4F81BD"/>
      <w:sz w:val="22"/>
    </w:rPr>
  </w:style>
  <w:style w:styleId="Style_57_ch" w:type="character">
    <w:name w:val="Intense Quote"/>
    <w:basedOn w:val="Style_4_ch"/>
    <w:link w:val="Style_57"/>
    <w:rPr>
      <w:rFonts w:ascii="Calibri" w:hAnsi="Calibri"/>
      <w:b w:val="1"/>
      <w:i w:val="1"/>
      <w:color w:val="4F81BD"/>
      <w:sz w:val="22"/>
    </w:rPr>
  </w:style>
  <w:style w:styleId="Style_58" w:type="paragraph">
    <w:name w:val="toc 1"/>
    <w:next w:val="Style_4"/>
    <w:link w:val="Style_58_ch"/>
    <w:uiPriority w:val="39"/>
    <w:pPr>
      <w:ind w:firstLine="0" w:left="0"/>
      <w:jc w:val="left"/>
    </w:pPr>
    <w:rPr>
      <w:rFonts w:ascii="XO Thames" w:hAnsi="XO Thames"/>
      <w:b w:val="1"/>
      <w:sz w:val="28"/>
    </w:rPr>
  </w:style>
  <w:style w:styleId="Style_58_ch" w:type="character">
    <w:name w:val="toc 1"/>
    <w:link w:val="Style_58"/>
    <w:rPr>
      <w:rFonts w:ascii="XO Thames" w:hAnsi="XO Thames"/>
      <w:b w:val="1"/>
      <w:sz w:val="28"/>
    </w:rPr>
  </w:style>
  <w:style w:styleId="Style_59" w:type="paragraph">
    <w:name w:val="List Paragraph"/>
    <w:basedOn w:val="Style_4"/>
    <w:link w:val="Style_59_ch"/>
    <w:pPr>
      <w:spacing w:after="200" w:line="276" w:lineRule="auto"/>
      <w:ind w:firstLine="0" w:left="720"/>
    </w:pPr>
    <w:rPr>
      <w:rFonts w:ascii="Calibri" w:hAnsi="Calibri"/>
      <w:sz w:val="22"/>
    </w:rPr>
  </w:style>
  <w:style w:styleId="Style_59_ch" w:type="character">
    <w:name w:val="List Paragraph"/>
    <w:basedOn w:val="Style_4_ch"/>
    <w:link w:val="Style_59"/>
    <w:rPr>
      <w:rFonts w:ascii="Calibri" w:hAnsi="Calibri"/>
      <w:sz w:val="22"/>
    </w:rPr>
  </w:style>
  <w:style w:styleId="Style_60" w:type="paragraph">
    <w:name w:val="xl71"/>
    <w:basedOn w:val="Style_4"/>
    <w:link w:val="Style_60_ch"/>
    <w:pPr>
      <w:spacing w:afterAutospacing="on" w:beforeAutospacing="on"/>
      <w:ind/>
      <w:jc w:val="both"/>
    </w:pPr>
    <w:rPr>
      <w:sz w:val="28"/>
    </w:rPr>
  </w:style>
  <w:style w:styleId="Style_60_ch" w:type="character">
    <w:name w:val="xl71"/>
    <w:basedOn w:val="Style_4_ch"/>
    <w:link w:val="Style_60"/>
    <w:rPr>
      <w:sz w:val="28"/>
    </w:rPr>
  </w:style>
  <w:style w:styleId="Style_61" w:type="paragraph">
    <w:name w:val="Header and Footer"/>
    <w:link w:val="Style_61_ch"/>
    <w:pPr>
      <w:spacing w:line="240" w:lineRule="auto"/>
      <w:ind/>
      <w:jc w:val="both"/>
    </w:pPr>
    <w:rPr>
      <w:rFonts w:ascii="XO Thames" w:hAnsi="XO Thames"/>
      <w:sz w:val="20"/>
    </w:rPr>
  </w:style>
  <w:style w:styleId="Style_61_ch" w:type="character">
    <w:name w:val="Header and Footer"/>
    <w:link w:val="Style_61"/>
    <w:rPr>
      <w:rFonts w:ascii="XO Thames" w:hAnsi="XO Thames"/>
      <w:sz w:val="20"/>
    </w:rPr>
  </w:style>
  <w:style w:styleId="Style_62" w:type="paragraph">
    <w:name w:val=" Знак Знак Знак"/>
    <w:basedOn w:val="Style_4"/>
    <w:link w:val="Style_62_ch"/>
    <w:pPr>
      <w:spacing w:afterAutospacing="on" w:beforeAutospacing="on"/>
      <w:ind/>
    </w:pPr>
    <w:rPr>
      <w:rFonts w:ascii="Tahoma" w:hAnsi="Tahoma"/>
      <w:sz w:val="20"/>
    </w:rPr>
  </w:style>
  <w:style w:styleId="Style_62_ch" w:type="character">
    <w:name w:val=" Знак Знак Знак"/>
    <w:basedOn w:val="Style_4_ch"/>
    <w:link w:val="Style_62"/>
    <w:rPr>
      <w:rFonts w:ascii="Tahoma" w:hAnsi="Tahoma"/>
      <w:sz w:val="20"/>
    </w:rPr>
  </w:style>
  <w:style w:styleId="Style_63" w:type="paragraph">
    <w:name w:val="toc 9"/>
    <w:next w:val="Style_4"/>
    <w:link w:val="Style_63_ch"/>
    <w:uiPriority w:val="39"/>
    <w:pPr>
      <w:ind w:firstLine="0" w:left="1600"/>
      <w:jc w:val="left"/>
    </w:pPr>
    <w:rPr>
      <w:rFonts w:ascii="XO Thames" w:hAnsi="XO Thames"/>
      <w:sz w:val="28"/>
    </w:rPr>
  </w:style>
  <w:style w:styleId="Style_63_ch" w:type="character">
    <w:name w:val="toc 9"/>
    <w:link w:val="Style_63"/>
    <w:rPr>
      <w:rFonts w:ascii="XO Thames" w:hAnsi="XO Thames"/>
      <w:sz w:val="28"/>
    </w:rPr>
  </w:style>
  <w:style w:styleId="Style_64" w:type="paragraph">
    <w:name w:val="Postan"/>
    <w:basedOn w:val="Style_4"/>
    <w:link w:val="Style_64_ch"/>
    <w:pPr>
      <w:ind/>
      <w:jc w:val="center"/>
    </w:pPr>
    <w:rPr>
      <w:sz w:val="28"/>
    </w:rPr>
  </w:style>
  <w:style w:styleId="Style_64_ch" w:type="character">
    <w:name w:val="Postan"/>
    <w:basedOn w:val="Style_4_ch"/>
    <w:link w:val="Style_64"/>
    <w:rPr>
      <w:sz w:val="28"/>
    </w:rPr>
  </w:style>
  <w:style w:styleId="Style_65" w:type="paragraph">
    <w:name w:val="toc 8"/>
    <w:next w:val="Style_4"/>
    <w:link w:val="Style_65_ch"/>
    <w:uiPriority w:val="39"/>
    <w:pPr>
      <w:ind w:firstLine="0" w:left="1400"/>
      <w:jc w:val="left"/>
    </w:pPr>
    <w:rPr>
      <w:rFonts w:ascii="XO Thames" w:hAnsi="XO Thames"/>
      <w:sz w:val="28"/>
    </w:rPr>
  </w:style>
  <w:style w:styleId="Style_65_ch" w:type="character">
    <w:name w:val="toc 8"/>
    <w:link w:val="Style_65"/>
    <w:rPr>
      <w:rFonts w:ascii="XO Thames" w:hAnsi="XO Thames"/>
      <w:sz w:val="28"/>
    </w:rPr>
  </w:style>
  <w:style w:styleId="Style_66" w:type="paragraph">
    <w:name w:val="Strong"/>
    <w:link w:val="Style_66_ch"/>
    <w:rPr>
      <w:b w:val="1"/>
    </w:rPr>
  </w:style>
  <w:style w:styleId="Style_66_ch" w:type="character">
    <w:name w:val="Strong"/>
    <w:link w:val="Style_66"/>
    <w:rPr>
      <w:b w:val="1"/>
    </w:rPr>
  </w:style>
  <w:style w:styleId="Style_67" w:type="paragraph">
    <w:name w:val="xl73"/>
    <w:basedOn w:val="Style_4"/>
    <w:link w:val="Style_67_ch"/>
    <w:pPr>
      <w:spacing w:afterAutospacing="on" w:beforeAutospacing="on"/>
      <w:ind/>
      <w:jc w:val="center"/>
    </w:pPr>
    <w:rPr>
      <w:b w:val="1"/>
      <w:color w:val="000000"/>
      <w:sz w:val="28"/>
    </w:rPr>
  </w:style>
  <w:style w:styleId="Style_67_ch" w:type="character">
    <w:name w:val="xl73"/>
    <w:basedOn w:val="Style_4_ch"/>
    <w:link w:val="Style_67"/>
    <w:rPr>
      <w:b w:val="1"/>
      <w:color w:val="000000"/>
      <w:sz w:val="28"/>
    </w:rPr>
  </w:style>
  <w:style w:styleId="Style_68" w:type="paragraph">
    <w:name w:val="xl72"/>
    <w:basedOn w:val="Style_4"/>
    <w:link w:val="Style_68_ch"/>
    <w:pPr>
      <w:spacing w:afterAutospacing="on" w:beforeAutospacing="on"/>
      <w:ind/>
    </w:pPr>
    <w:rPr>
      <w:b w:val="1"/>
    </w:rPr>
  </w:style>
  <w:style w:styleId="Style_68_ch" w:type="character">
    <w:name w:val="xl72"/>
    <w:basedOn w:val="Style_4_ch"/>
    <w:link w:val="Style_68"/>
    <w:rPr>
      <w:b w:val="1"/>
    </w:rPr>
  </w:style>
  <w:style w:styleId="Style_69" w:type="paragraph">
    <w:name w:val="page number"/>
    <w:basedOn w:val="Style_70"/>
    <w:link w:val="Style_69_ch"/>
  </w:style>
  <w:style w:styleId="Style_69_ch" w:type="character">
    <w:name w:val="page number"/>
    <w:basedOn w:val="Style_70_ch"/>
    <w:link w:val="Style_69"/>
  </w:style>
  <w:style w:styleId="Style_71" w:type="paragraph">
    <w:name w:val="Document Map"/>
    <w:basedOn w:val="Style_4"/>
    <w:link w:val="Style_71_ch"/>
    <w:rPr>
      <w:rFonts w:ascii="Tahoma" w:hAnsi="Tahoma"/>
      <w:sz w:val="20"/>
    </w:rPr>
  </w:style>
  <w:style w:styleId="Style_71_ch" w:type="character">
    <w:name w:val="Document Map"/>
    <w:basedOn w:val="Style_4_ch"/>
    <w:link w:val="Style_71"/>
    <w:rPr>
      <w:rFonts w:ascii="Tahoma" w:hAnsi="Tahoma"/>
      <w:sz w:val="20"/>
    </w:rPr>
  </w:style>
  <w:style w:styleId="Style_72" w:type="paragraph">
    <w:name w:val="toc 5"/>
    <w:next w:val="Style_4"/>
    <w:link w:val="Style_72_ch"/>
    <w:uiPriority w:val="39"/>
    <w:pPr>
      <w:ind w:firstLine="0" w:left="800"/>
      <w:jc w:val="left"/>
    </w:pPr>
    <w:rPr>
      <w:rFonts w:ascii="XO Thames" w:hAnsi="XO Thames"/>
      <w:sz w:val="28"/>
    </w:rPr>
  </w:style>
  <w:style w:styleId="Style_72_ch" w:type="character">
    <w:name w:val="toc 5"/>
    <w:link w:val="Style_72"/>
    <w:rPr>
      <w:rFonts w:ascii="XO Thames" w:hAnsi="XO Thames"/>
      <w:sz w:val="28"/>
    </w:rPr>
  </w:style>
  <w:style w:styleId="Style_73" w:type="paragraph">
    <w:name w:val="xl88"/>
    <w:basedOn w:val="Style_4"/>
    <w:link w:val="Style_73_ch"/>
    <w:pPr>
      <w:spacing w:afterAutospacing="on" w:beforeAutospacing="on"/>
      <w:ind/>
      <w:jc w:val="center"/>
    </w:pPr>
    <w:rPr>
      <w:color w:val="000000"/>
    </w:rPr>
  </w:style>
  <w:style w:styleId="Style_73_ch" w:type="character">
    <w:name w:val="xl88"/>
    <w:basedOn w:val="Style_4_ch"/>
    <w:link w:val="Style_73"/>
    <w:rPr>
      <w:color w:val="000000"/>
    </w:rPr>
  </w:style>
  <w:style w:styleId="Style_74" w:type="paragraph">
    <w:name w:val="ConsPlusCell"/>
    <w:link w:val="Style_74_ch"/>
    <w:pPr>
      <w:widowControl w:val="0"/>
      <w:ind/>
    </w:pPr>
    <w:rPr>
      <w:rFonts w:ascii="Calibri" w:hAnsi="Calibri"/>
      <w:sz w:val="22"/>
    </w:rPr>
  </w:style>
  <w:style w:styleId="Style_74_ch" w:type="character">
    <w:name w:val="ConsPlusCell"/>
    <w:link w:val="Style_74"/>
    <w:rPr>
      <w:rFonts w:ascii="Calibri" w:hAnsi="Calibri"/>
      <w:sz w:val="22"/>
    </w:rPr>
  </w:style>
  <w:style w:styleId="Style_70" w:type="paragraph">
    <w:name w:val="Default Paragraph Font"/>
    <w:link w:val="Style_70_ch"/>
  </w:style>
  <w:style w:styleId="Style_70_ch" w:type="character">
    <w:name w:val="Default Paragraph Font"/>
    <w:link w:val="Style_70"/>
  </w:style>
  <w:style w:styleId="Style_75" w:type="paragraph">
    <w:name w:val="Таблицы (моноширинный)"/>
    <w:basedOn w:val="Style_4"/>
    <w:next w:val="Style_4"/>
    <w:link w:val="Style_75_ch"/>
    <w:pPr>
      <w:widowControl w:val="0"/>
      <w:ind/>
      <w:jc w:val="both"/>
    </w:pPr>
    <w:rPr>
      <w:rFonts w:ascii="Courier New" w:hAnsi="Courier New"/>
    </w:rPr>
  </w:style>
  <w:style w:styleId="Style_75_ch" w:type="character">
    <w:name w:val="Таблицы (моноширинный)"/>
    <w:basedOn w:val="Style_4_ch"/>
    <w:link w:val="Style_75"/>
    <w:rPr>
      <w:rFonts w:ascii="Courier New" w:hAnsi="Courier New"/>
    </w:rPr>
  </w:style>
  <w:style w:styleId="Style_76" w:type="paragraph">
    <w:name w:val="Гипертекстовая ссылка"/>
    <w:link w:val="Style_76_ch"/>
    <w:rPr>
      <w:color w:val="106BBE"/>
    </w:rPr>
  </w:style>
  <w:style w:styleId="Style_76_ch" w:type="character">
    <w:name w:val="Гипертекстовая ссылка"/>
    <w:link w:val="Style_76"/>
    <w:rPr>
      <w:color w:val="106BBE"/>
    </w:rPr>
  </w:style>
  <w:style w:styleId="Style_77" w:type="paragraph">
    <w:name w:val="xl75"/>
    <w:basedOn w:val="Style_4"/>
    <w:link w:val="Style_77_ch"/>
    <w:pPr>
      <w:spacing w:afterAutospacing="on" w:beforeAutospacing="on"/>
      <w:ind/>
      <w:jc w:val="center"/>
    </w:pPr>
    <w:rPr>
      <w:b w:val="1"/>
      <w:color w:val="000000"/>
      <w:sz w:val="28"/>
    </w:rPr>
  </w:style>
  <w:style w:styleId="Style_77_ch" w:type="character">
    <w:name w:val="xl75"/>
    <w:basedOn w:val="Style_4_ch"/>
    <w:link w:val="Style_77"/>
    <w:rPr>
      <w:b w:val="1"/>
      <w:color w:val="000000"/>
      <w:sz w:val="28"/>
    </w:rPr>
  </w:style>
  <w:style w:styleId="Style_78" w:type="paragraph">
    <w:name w:val="xl69"/>
    <w:basedOn w:val="Style_4"/>
    <w:link w:val="Style_78_ch"/>
    <w:pPr>
      <w:spacing w:afterAutospacing="on" w:beforeAutospacing="on"/>
      <w:ind/>
      <w:jc w:val="both"/>
    </w:pPr>
    <w:rPr>
      <w:sz w:val="28"/>
    </w:rPr>
  </w:style>
  <w:style w:styleId="Style_78_ch" w:type="character">
    <w:name w:val="xl69"/>
    <w:basedOn w:val="Style_4_ch"/>
    <w:link w:val="Style_78"/>
    <w:rPr>
      <w:sz w:val="28"/>
    </w:rPr>
  </w:style>
  <w:style w:styleId="Style_79" w:type="paragraph">
    <w:name w:val="xl90"/>
    <w:basedOn w:val="Style_4"/>
    <w:link w:val="Style_79_ch"/>
    <w:pPr>
      <w:spacing w:afterAutospacing="on" w:beforeAutospacing="on"/>
      <w:ind/>
      <w:jc w:val="center"/>
    </w:pPr>
    <w:rPr>
      <w:sz w:val="28"/>
    </w:rPr>
  </w:style>
  <w:style w:styleId="Style_79_ch" w:type="character">
    <w:name w:val="xl90"/>
    <w:basedOn w:val="Style_4_ch"/>
    <w:link w:val="Style_79"/>
    <w:rPr>
      <w:sz w:val="28"/>
    </w:rPr>
  </w:style>
  <w:style w:styleId="Style_80" w:type="paragraph">
    <w:name w:val="xl94"/>
    <w:basedOn w:val="Style_4"/>
    <w:link w:val="Style_80_ch"/>
    <w:pPr>
      <w:spacing w:afterAutospacing="on" w:beforeAutospacing="on"/>
      <w:ind/>
    </w:pPr>
    <w:rPr>
      <w:b w:val="1"/>
      <w:color w:val="000000"/>
    </w:rPr>
  </w:style>
  <w:style w:styleId="Style_80_ch" w:type="character">
    <w:name w:val="xl94"/>
    <w:basedOn w:val="Style_4_ch"/>
    <w:link w:val="Style_80"/>
    <w:rPr>
      <w:b w:val="1"/>
      <w:color w:val="000000"/>
    </w:rPr>
  </w:style>
  <w:style w:styleId="Style_81" w:type="paragraph">
    <w:name w:val=" Знак"/>
    <w:basedOn w:val="Style_4"/>
    <w:link w:val="Style_81_ch"/>
    <w:pPr>
      <w:spacing w:afterAutospacing="on" w:beforeAutospacing="on"/>
      <w:ind/>
    </w:pPr>
    <w:rPr>
      <w:rFonts w:ascii="Tahoma" w:hAnsi="Tahoma"/>
      <w:sz w:val="20"/>
    </w:rPr>
  </w:style>
  <w:style w:styleId="Style_81_ch" w:type="character">
    <w:name w:val=" Знак"/>
    <w:basedOn w:val="Style_4_ch"/>
    <w:link w:val="Style_81"/>
    <w:rPr>
      <w:rFonts w:ascii="Tahoma" w:hAnsi="Tahoma"/>
      <w:sz w:val="20"/>
    </w:rPr>
  </w:style>
  <w:style w:styleId="Style_82" w:type="paragraph">
    <w:name w:val="xl81"/>
    <w:basedOn w:val="Style_4"/>
    <w:link w:val="Style_82_ch"/>
    <w:pPr>
      <w:spacing w:afterAutospacing="on" w:beforeAutospacing="on"/>
      <w:ind/>
      <w:jc w:val="center"/>
    </w:pPr>
    <w:rPr>
      <w:b w:val="1"/>
      <w:color w:val="000000"/>
      <w:sz w:val="28"/>
    </w:rPr>
  </w:style>
  <w:style w:styleId="Style_82_ch" w:type="character">
    <w:name w:val="xl81"/>
    <w:basedOn w:val="Style_4_ch"/>
    <w:link w:val="Style_82"/>
    <w:rPr>
      <w:b w:val="1"/>
      <w:color w:val="000000"/>
      <w:sz w:val="28"/>
    </w:rPr>
  </w:style>
  <w:style w:styleId="Style_83" w:type="paragraph">
    <w:name w:val="apple-style-span"/>
    <w:basedOn w:val="Style_70"/>
    <w:link w:val="Style_83_ch"/>
  </w:style>
  <w:style w:styleId="Style_83_ch" w:type="character">
    <w:name w:val="apple-style-span"/>
    <w:basedOn w:val="Style_70_ch"/>
    <w:link w:val="Style_83"/>
  </w:style>
  <w:style w:styleId="Style_84" w:type="paragraph">
    <w:name w:val="Quote"/>
    <w:basedOn w:val="Style_4"/>
    <w:next w:val="Style_4"/>
    <w:link w:val="Style_84_ch"/>
    <w:pPr>
      <w:spacing w:after="200" w:line="276" w:lineRule="auto"/>
      <w:ind/>
    </w:pPr>
    <w:rPr>
      <w:rFonts w:ascii="Calibri" w:hAnsi="Calibri"/>
      <w:i w:val="1"/>
      <w:color w:val="000000"/>
      <w:sz w:val="22"/>
    </w:rPr>
  </w:style>
  <w:style w:styleId="Style_84_ch" w:type="character">
    <w:name w:val="Quote"/>
    <w:basedOn w:val="Style_4_ch"/>
    <w:link w:val="Style_84"/>
    <w:rPr>
      <w:rFonts w:ascii="Calibri" w:hAnsi="Calibri"/>
      <w:i w:val="1"/>
      <w:color w:val="000000"/>
      <w:sz w:val="22"/>
    </w:rPr>
  </w:style>
  <w:style w:styleId="Style_85" w:type="paragraph">
    <w:name w:val="Default"/>
    <w:link w:val="Style_85_ch"/>
    <w:rPr>
      <w:rFonts w:ascii="Arial" w:hAnsi="Arial"/>
      <w:color w:val="000000"/>
      <w:sz w:val="24"/>
    </w:rPr>
  </w:style>
  <w:style w:styleId="Style_85_ch" w:type="character">
    <w:name w:val="Default"/>
    <w:link w:val="Style_85"/>
    <w:rPr>
      <w:rFonts w:ascii="Arial" w:hAnsi="Arial"/>
      <w:color w:val="000000"/>
      <w:sz w:val="24"/>
    </w:rPr>
  </w:style>
  <w:style w:styleId="Style_86" w:type="paragraph">
    <w:name w:val="Subtitle"/>
    <w:basedOn w:val="Style_4"/>
    <w:next w:val="Style_4"/>
    <w:link w:val="Style_86_ch"/>
    <w:uiPriority w:val="11"/>
    <w:qFormat/>
    <w:pPr>
      <w:spacing w:after="200" w:line="276" w:lineRule="auto"/>
      <w:ind/>
    </w:pPr>
    <w:rPr>
      <w:rFonts w:ascii="Cambria" w:hAnsi="Cambria"/>
      <w:i w:val="1"/>
      <w:color w:val="4F81BD"/>
      <w:spacing w:val="15"/>
    </w:rPr>
  </w:style>
  <w:style w:styleId="Style_86_ch" w:type="character">
    <w:name w:val="Subtitle"/>
    <w:basedOn w:val="Style_4_ch"/>
    <w:link w:val="Style_86"/>
    <w:rPr>
      <w:rFonts w:ascii="Cambria" w:hAnsi="Cambria"/>
      <w:i w:val="1"/>
      <w:color w:val="4F81BD"/>
      <w:spacing w:val="15"/>
    </w:rPr>
  </w:style>
  <w:style w:styleId="Style_87" w:type="paragraph">
    <w:name w:val="xl67"/>
    <w:basedOn w:val="Style_4"/>
    <w:link w:val="Style_87_ch"/>
    <w:pPr>
      <w:spacing w:afterAutospacing="on" w:beforeAutospacing="on"/>
      <w:ind/>
      <w:jc w:val="center"/>
    </w:pPr>
    <w:rPr>
      <w:color w:val="000000"/>
      <w:sz w:val="28"/>
    </w:rPr>
  </w:style>
  <w:style w:styleId="Style_87_ch" w:type="character">
    <w:name w:val="xl67"/>
    <w:basedOn w:val="Style_4_ch"/>
    <w:link w:val="Style_87"/>
    <w:rPr>
      <w:color w:val="000000"/>
      <w:sz w:val="28"/>
    </w:rPr>
  </w:style>
  <w:style w:styleId="Style_88" w:type="paragraph">
    <w:name w:val="footnote reference"/>
    <w:link w:val="Style_88_ch"/>
    <w:rPr>
      <w:rFonts w:ascii="Verdana" w:hAnsi="Verdana"/>
      <w:sz w:val="18"/>
      <w:vertAlign w:val="superscript"/>
    </w:rPr>
  </w:style>
  <w:style w:styleId="Style_88_ch" w:type="character">
    <w:name w:val="footnote reference"/>
    <w:link w:val="Style_88"/>
    <w:rPr>
      <w:rFonts w:ascii="Verdana" w:hAnsi="Verdana"/>
      <w:sz w:val="18"/>
      <w:vertAlign w:val="superscript"/>
    </w:rPr>
  </w:style>
  <w:style w:styleId="Style_89" w:type="paragraph">
    <w:name w:val="ConsPlusNormal"/>
    <w:link w:val="Style_89_ch"/>
    <w:pPr>
      <w:widowControl w:val="0"/>
      <w:ind w:firstLine="720" w:left="0"/>
    </w:pPr>
    <w:rPr>
      <w:rFonts w:ascii="Arial" w:hAnsi="Arial"/>
    </w:rPr>
  </w:style>
  <w:style w:styleId="Style_89_ch" w:type="character">
    <w:name w:val="ConsPlusNormal"/>
    <w:link w:val="Style_89"/>
    <w:rPr>
      <w:rFonts w:ascii="Arial" w:hAnsi="Arial"/>
    </w:rPr>
  </w:style>
  <w:style w:styleId="Style_90" w:type="paragraph">
    <w:name w:val="Body Text Indent 2"/>
    <w:basedOn w:val="Style_4"/>
    <w:link w:val="Style_90_ch"/>
    <w:pPr>
      <w:ind w:firstLine="720" w:left="0"/>
    </w:pPr>
  </w:style>
  <w:style w:styleId="Style_90_ch" w:type="character">
    <w:name w:val="Body Text Indent 2"/>
    <w:basedOn w:val="Style_4_ch"/>
    <w:link w:val="Style_90"/>
  </w:style>
  <w:style w:styleId="Style_91" w:type="paragraph">
    <w:name w:val="Title"/>
    <w:basedOn w:val="Style_4"/>
    <w:next w:val="Style_4"/>
    <w:link w:val="Style_91_ch"/>
    <w:uiPriority w:val="10"/>
    <w:qFormat/>
    <w:pPr>
      <w:spacing w:after="300"/>
      <w:ind/>
      <w:contextualSpacing w:val="1"/>
    </w:pPr>
    <w:rPr>
      <w:rFonts w:ascii="Cambria" w:hAnsi="Cambria"/>
      <w:color w:val="17365D"/>
      <w:spacing w:val="5"/>
      <w:sz w:val="52"/>
    </w:rPr>
  </w:style>
  <w:style w:styleId="Style_91_ch" w:type="character">
    <w:name w:val="Title"/>
    <w:basedOn w:val="Style_4_ch"/>
    <w:link w:val="Style_91"/>
    <w:rPr>
      <w:rFonts w:ascii="Cambria" w:hAnsi="Cambria"/>
      <w:color w:val="17365D"/>
      <w:spacing w:val="5"/>
      <w:sz w:val="52"/>
    </w:rPr>
  </w:style>
  <w:style w:styleId="Style_92" w:type="paragraph">
    <w:name w:val="heading 4"/>
    <w:basedOn w:val="Style_4"/>
    <w:next w:val="Style_4"/>
    <w:link w:val="Style_92_ch"/>
    <w:uiPriority w:val="9"/>
    <w:qFormat/>
    <w:pPr>
      <w:keepNext w:val="1"/>
      <w:spacing w:after="60" w:before="240"/>
      <w:ind/>
      <w:outlineLvl w:val="3"/>
    </w:pPr>
    <w:rPr>
      <w:b w:val="1"/>
      <w:sz w:val="28"/>
    </w:rPr>
  </w:style>
  <w:style w:styleId="Style_92_ch" w:type="character">
    <w:name w:val="heading 4"/>
    <w:basedOn w:val="Style_4_ch"/>
    <w:link w:val="Style_92"/>
    <w:rPr>
      <w:b w:val="1"/>
      <w:sz w:val="28"/>
    </w:rPr>
  </w:style>
  <w:style w:styleId="Style_93" w:type="paragraph">
    <w:name w:val="xl92"/>
    <w:basedOn w:val="Style_4"/>
    <w:link w:val="Style_93_ch"/>
    <w:pPr>
      <w:spacing w:afterAutospacing="on" w:beforeAutospacing="on"/>
      <w:ind/>
    </w:pPr>
    <w:rPr>
      <w:b w:val="1"/>
      <w:color w:val="000000"/>
    </w:rPr>
  </w:style>
  <w:style w:styleId="Style_93_ch" w:type="character">
    <w:name w:val="xl92"/>
    <w:basedOn w:val="Style_4_ch"/>
    <w:link w:val="Style_93"/>
    <w:rPr>
      <w:b w:val="1"/>
      <w:color w:val="000000"/>
    </w:rPr>
  </w:style>
  <w:style w:styleId="Style_94" w:type="paragraph">
    <w:name w:val="xl83"/>
    <w:basedOn w:val="Style_4"/>
    <w:link w:val="Style_94_ch"/>
    <w:pPr>
      <w:spacing w:afterAutospacing="on" w:beforeAutospacing="on"/>
      <w:ind/>
      <w:jc w:val="center"/>
    </w:pPr>
    <w:rPr>
      <w:color w:val="000000"/>
      <w:sz w:val="28"/>
    </w:rPr>
  </w:style>
  <w:style w:styleId="Style_94_ch" w:type="character">
    <w:name w:val="xl83"/>
    <w:basedOn w:val="Style_4_ch"/>
    <w:link w:val="Style_94"/>
    <w:rPr>
      <w:color w:val="000000"/>
      <w:sz w:val="28"/>
    </w:rPr>
  </w:style>
  <w:style w:styleId="Style_95" w:type="paragraph">
    <w:name w:val="heading 2"/>
    <w:basedOn w:val="Style_4"/>
    <w:next w:val="Style_4"/>
    <w:link w:val="Style_95_ch"/>
    <w:uiPriority w:val="9"/>
    <w:qFormat/>
    <w:pPr>
      <w:keepNext w:val="1"/>
      <w:ind/>
      <w:outlineLvl w:val="1"/>
    </w:pPr>
    <w:rPr>
      <w:b w:val="1"/>
      <w:sz w:val="28"/>
    </w:rPr>
  </w:style>
  <w:style w:styleId="Style_95_ch" w:type="character">
    <w:name w:val="heading 2"/>
    <w:basedOn w:val="Style_4_ch"/>
    <w:link w:val="Style_95"/>
    <w:rPr>
      <w:b w:val="1"/>
      <w:sz w:val="28"/>
    </w:rPr>
  </w:style>
  <w:style w:styleId="Style_96" w:type="paragraph">
    <w:name w:val="xl84"/>
    <w:basedOn w:val="Style_4"/>
    <w:link w:val="Style_96_ch"/>
    <w:pPr>
      <w:spacing w:afterAutospacing="on" w:beforeAutospacing="on"/>
      <w:ind/>
      <w:jc w:val="both"/>
    </w:pPr>
    <w:rPr>
      <w:b w:val="1"/>
      <w:sz w:val="28"/>
    </w:rPr>
  </w:style>
  <w:style w:styleId="Style_96_ch" w:type="character">
    <w:name w:val="xl84"/>
    <w:basedOn w:val="Style_4_ch"/>
    <w:link w:val="Style_96"/>
    <w:rPr>
      <w:b w:val="1"/>
      <w:sz w:val="28"/>
    </w:rPr>
  </w:style>
  <w:style w:styleId="Style_97" w:type="paragraph">
    <w:name w:val="heading 6"/>
    <w:basedOn w:val="Style_4"/>
    <w:next w:val="Style_4"/>
    <w:link w:val="Style_97_ch"/>
    <w:uiPriority w:val="9"/>
    <w:qFormat/>
    <w:pPr>
      <w:tabs>
        <w:tab w:leader="none" w:pos="1152" w:val="left"/>
      </w:tabs>
      <w:spacing w:after="60" w:before="240"/>
      <w:ind w:hanging="432" w:left="1152"/>
      <w:outlineLvl w:val="5"/>
    </w:pPr>
    <w:rPr>
      <w:b w:val="1"/>
      <w:sz w:val="22"/>
    </w:rPr>
  </w:style>
  <w:style w:styleId="Style_97_ch" w:type="character">
    <w:name w:val="heading 6"/>
    <w:basedOn w:val="Style_4_ch"/>
    <w:link w:val="Style_97"/>
    <w:rPr>
      <w:b w:val="1"/>
      <w:sz w:val="22"/>
    </w:rPr>
  </w:style>
  <w:style w:styleId="Style_9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2023-11-23T12:11:10Z</dcterms:modified>
</cp:coreProperties>
</file>