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4"/>
        </w:rPr>
      </w:pPr>
      <w:r>
        <w:rPr>
          <w:sz w:val="24"/>
        </w:rPr>
        <w:t>РОСТОВСКАЯ ОБЛАСТЬ АЗОВСКИЙ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«КАГАЛЬНИЦКОЕ СЕЛЬСКОЕ ПОСЕЛЕНИЕ»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АДМИНИСТРАЦИЯ  КАГАЛЬНИЦКОГО СЕЛЬСКОГО ПОСЕЛЕНИЯ</w:t>
      </w:r>
    </w:p>
    <w:p w14:paraId="08000000">
      <w:pPr>
        <w:pStyle w:val="Style_4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b w:val="1"/>
          <w:sz w:val="24"/>
        </w:rPr>
        <w:t>06.10.</w:t>
      </w:r>
      <w:r>
        <w:rPr>
          <w:b w:val="1"/>
          <w:sz w:val="24"/>
        </w:rPr>
        <w:t>202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года                </w:t>
      </w:r>
      <w:r>
        <w:rPr>
          <w:b w:val="1"/>
          <w:sz w:val="24"/>
        </w:rPr>
        <w:t xml:space="preserve">                            № 136</w:t>
      </w:r>
      <w:r>
        <w:rPr>
          <w:b w:val="1"/>
          <w:sz w:val="24"/>
        </w:rPr>
        <w:t xml:space="preserve">                              </w:t>
      </w:r>
      <w:r>
        <w:rPr>
          <w:b w:val="1"/>
          <w:sz w:val="24"/>
        </w:rPr>
        <w:t xml:space="preserve">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E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F000000">
      <w:pPr>
        <w:ind w:right="411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«Благоустройство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9 месяцев 2022 года</w:t>
      </w:r>
    </w:p>
    <w:p w14:paraId="10000000">
      <w:pPr>
        <w:ind w:right="411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</w:t>
      </w:r>
      <w:r>
        <w:rPr>
          <w:sz w:val="28"/>
        </w:rPr>
        <w:t>о</w:t>
      </w:r>
      <w:r>
        <w:rPr>
          <w:sz w:val="28"/>
        </w:rPr>
        <w:t>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>.10.2018 г. №135 «Об утверждении Методических рекоменд</w:t>
      </w:r>
      <w:r>
        <w:rPr>
          <w:sz w:val="28"/>
        </w:rPr>
        <w:t>а</w:t>
      </w:r>
      <w:r>
        <w:rPr>
          <w:sz w:val="28"/>
        </w:rPr>
        <w:t>ций по разработке и реализации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 xml:space="preserve">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поселения от 30.12.2021 г. №210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«Благоустройство территории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2000000">
      <w:pPr>
        <w:pStyle w:val="Style_6"/>
        <w:widowControl w:val="1"/>
        <w:ind/>
        <w:jc w:val="both"/>
        <w:rPr>
          <w:b w:val="0"/>
          <w:sz w:val="28"/>
        </w:rPr>
      </w:pPr>
    </w:p>
    <w:p w14:paraId="13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ПОСТАНОВЛЯЕТ: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 xml:space="preserve">граммы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9 месяцев 2022 года, согласно 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Кагальницкого сельского поселения.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0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567" w:top="426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06.10.2022г. №136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Благоустройство территории»  </w:t>
      </w:r>
      <w:r>
        <w:rPr>
          <w:sz w:val="24"/>
        </w:rPr>
        <w:t>за 9 месяцев 2022 года»</w:t>
      </w: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pStyle w:val="Style_7"/>
        <w:ind/>
        <w:jc w:val="center"/>
        <w:rPr>
          <w:sz w:val="24"/>
        </w:rPr>
      </w:pPr>
      <w:r>
        <w:rPr>
          <w:sz w:val="24"/>
        </w:rPr>
        <w:t>ОТЧЕТ</w:t>
      </w:r>
    </w:p>
    <w:p w14:paraId="28000000">
      <w:pPr>
        <w:widowControl w:val="0"/>
        <w:ind/>
        <w:jc w:val="center"/>
        <w:rPr>
          <w:sz w:val="24"/>
        </w:rPr>
      </w:pPr>
      <w:r>
        <w:rPr>
          <w:rStyle w:val="Style_7_ch"/>
          <w:sz w:val="24"/>
        </w:rPr>
        <w:t>об исполнении плана  реализации муниципальной программы:</w:t>
      </w:r>
      <w:r>
        <w:rPr>
          <w:rStyle w:val="Style_7_ch"/>
          <w:sz w:val="24"/>
        </w:rPr>
        <w:t xml:space="preserve"> </w:t>
      </w:r>
      <w:r>
        <w:rPr>
          <w:rStyle w:val="Style_7_ch"/>
          <w:sz w:val="24"/>
        </w:rPr>
        <w:t xml:space="preserve">«Благоустройство территории» </w:t>
      </w:r>
      <w:r>
        <w:rPr>
          <w:rStyle w:val="Style_7_ch"/>
          <w:sz w:val="24"/>
        </w:rPr>
        <w:t xml:space="preserve">за </w:t>
      </w:r>
      <w:r>
        <w:rPr>
          <w:rStyle w:val="Style_7_ch"/>
          <w:sz w:val="24"/>
        </w:rPr>
        <w:t>9 месяцев</w:t>
      </w:r>
      <w:r>
        <w:rPr>
          <w:rStyle w:val="Style_7_ch"/>
          <w:sz w:val="24"/>
        </w:rPr>
        <w:t xml:space="preserve"> 2022 года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757"/>
        <w:gridCol w:w="1815"/>
        <w:gridCol w:w="2175"/>
        <w:gridCol w:w="1275"/>
        <w:gridCol w:w="1667"/>
        <w:gridCol w:w="1155"/>
        <w:gridCol w:w="1134"/>
        <w:gridCol w:w="1211"/>
        <w:gridCol w:w="1449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0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4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4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rStyle w:val="Style_7_ch"/>
                <w:sz w:val="24"/>
              </w:rPr>
              <w:t>2009,9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2009,9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1622,1</w:t>
            </w:r>
          </w:p>
          <w:p w14:paraId="4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387,8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>Расходы на дезинфе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цию и дератизацию от насекомых   </w:t>
            </w:r>
          </w:p>
          <w:p w14:paraId="4E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эколог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ческой нагрузки, улучшение  сан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тарной обстановки</w:t>
            </w:r>
          </w:p>
          <w:p w14:paraId="51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A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Прочее благоустройс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во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Улучшение степени благоустройства Кагальницкого сельского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  <w:p w14:paraId="5D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ind/>
              <w:jc w:val="center"/>
            </w:pPr>
            <w:r>
              <w:rPr>
                <w:sz w:val="24"/>
              </w:rPr>
              <w:t>-</w:t>
            </w:r>
          </w:p>
          <w:p w14:paraId="64000000">
            <w:pPr>
              <w:ind/>
              <w:jc w:val="center"/>
            </w:pP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Уборка придорожной терр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тории и  покос сорной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тительности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  <w:p w14:paraId="69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938,9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880,1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ind/>
              <w:jc w:val="center"/>
            </w:pPr>
            <w:r>
              <w:rPr>
                <w:sz w:val="24"/>
              </w:rPr>
              <w:t>58,8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5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Расходы по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нию и ремонту площадок мусо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контейнеров и площ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док к ним, а так же соде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жание территории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поселения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spacing w:line="27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Снижение эколог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ческой нагрузки, улучшение  сан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тарной обстановки</w:t>
            </w:r>
          </w:p>
          <w:p w14:paraId="74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r>
              <w:rPr>
                <w:sz w:val="24"/>
              </w:rPr>
              <w:t>01.01.20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498,0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497,8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</w:pPr>
            <w:r>
              <w:rPr>
                <w:sz w:val="24"/>
              </w:rPr>
              <w:t>0,2</w:t>
            </w:r>
          </w:p>
          <w:p w14:paraId="7B000000">
            <w:pPr>
              <w:ind/>
              <w:jc w:val="center"/>
            </w:pP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>Расходы по отлову бродячих животных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29.08.2022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0,0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>Обустройство и содержание детских площадок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  <w:p w14:paraId="8A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rPr>
                <w:sz w:val="24"/>
              </w:rPr>
            </w:pPr>
            <w:r>
              <w:rPr>
                <w:sz w:val="24"/>
              </w:rPr>
              <w:t>01.01.2022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323,0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 современной 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ской среды на территории Кагальницкого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type="dxa" w:w="1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ind/>
              <w:jc w:val="center"/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11047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11047,</w:t>
            </w:r>
            <w:r>
              <w:rPr>
                <w:sz w:val="24"/>
              </w:rPr>
              <w:t>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ind/>
              <w:jc w:val="center"/>
            </w:pPr>
            <w:r>
              <w:rPr>
                <w:sz w:val="24"/>
              </w:rPr>
              <w:t>11047,0</w:t>
            </w:r>
          </w:p>
          <w:p w14:paraId="9B000000">
            <w:pPr>
              <w:ind/>
              <w:jc w:val="center"/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>Расходы на строительный и авторский надзор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над исполнением </w:t>
            </w:r>
            <w:r>
              <w:rPr>
                <w:sz w:val="24"/>
              </w:rPr>
              <w:t>обус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ройства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поселения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00000">
            <w:pPr>
              <w:ind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228,4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228,4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228,4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Благоустройство общественной территории, расположенной по адресу: с.Кагальник, ул.Пролетарская, 41/1,41/2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Кагал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ницкого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rPr>
                <w:sz w:val="24"/>
              </w:rPr>
            </w:pPr>
            <w:r>
              <w:rPr>
                <w:sz w:val="24"/>
              </w:rPr>
              <w:t>Надлежащее  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держание  и обус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ройство те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риторий поселения, 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благоустройства и озеленения</w:t>
            </w:r>
          </w:p>
          <w:p w14:paraId="AA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продолж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ется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10818,6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10818,6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10818,6</w:t>
            </w:r>
          </w:p>
          <w:p w14:paraId="B1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13056,9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13056,9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1622,1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ind/>
              <w:jc w:val="center"/>
            </w:pPr>
            <w:r>
              <w:rPr>
                <w:sz w:val="24"/>
              </w:rPr>
              <w:t>11434,8</w:t>
            </w:r>
          </w:p>
        </w:tc>
      </w:tr>
    </w:tbl>
    <w:p w14:paraId="B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B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B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B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0000000">
      <w:pPr>
        <w:widowControl w:val="0"/>
        <w:ind w:firstLine="0" w:left="-284" w:right="-284"/>
        <w:jc w:val="both"/>
        <w:rPr>
          <w:sz w:val="18"/>
        </w:rPr>
      </w:pPr>
    </w:p>
    <w:p w14:paraId="C1000000">
      <w:pPr>
        <w:pStyle w:val="Style_9"/>
        <w:rPr>
          <w:rFonts w:ascii="Times New Roman" w:hAnsi="Times New Roman"/>
          <w:sz w:val="24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Strong"/>
    <w:link w:val="Style_11_ch"/>
    <w:rPr>
      <w:b w:val="1"/>
    </w:rPr>
  </w:style>
  <w:style w:styleId="Style_11_ch" w:type="character">
    <w:name w:val="Strong"/>
    <w:link w:val="Style_11"/>
    <w:rPr>
      <w:b w:val="1"/>
    </w:rPr>
  </w:style>
  <w:style w:styleId="Style_12" w:type="paragraph">
    <w:name w:val="toc 4"/>
    <w:next w:val="Style_7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Нормальный (таблица)"/>
    <w:basedOn w:val="Style_7"/>
    <w:next w:val="Style_7"/>
    <w:link w:val="Style_13_ch"/>
    <w:pPr>
      <w:widowControl w:val="0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7_ch"/>
    <w:link w:val="Style_13"/>
    <w:rPr>
      <w:rFonts w:ascii="Arial" w:hAnsi="Arial"/>
      <w:sz w:val="24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toc 6"/>
    <w:next w:val="Style_7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7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17" w:type="paragraph">
    <w:name w:val="Основной текст5"/>
    <w:basedOn w:val="Style_7"/>
    <w:link w:val="Style_17_ch"/>
    <w:pPr>
      <w:widowControl w:val="0"/>
      <w:spacing w:line="202" w:lineRule="exact"/>
      <w:ind/>
    </w:pPr>
    <w:rPr>
      <w:sz w:val="18"/>
    </w:rPr>
  </w:style>
  <w:style w:styleId="Style_17_ch" w:type="character">
    <w:name w:val="Основной текст5"/>
    <w:basedOn w:val="Style_7_ch"/>
    <w:link w:val="Style_17"/>
    <w:rPr>
      <w:sz w:val="18"/>
    </w:rPr>
  </w:style>
  <w:style w:styleId="Style_18" w:type="paragraph">
    <w:name w:val="Body Text Indent"/>
    <w:basedOn w:val="Style_7"/>
    <w:link w:val="Style_18_ch"/>
    <w:pPr>
      <w:ind w:firstLine="709" w:left="0"/>
      <w:jc w:val="both"/>
    </w:pPr>
  </w:style>
  <w:style w:styleId="Style_18_ch" w:type="character">
    <w:name w:val="Body Text Indent"/>
    <w:basedOn w:val="Style_7_ch"/>
    <w:link w:val="Style_18"/>
  </w:style>
  <w:style w:styleId="Style_19" w:type="paragraph">
    <w:name w:val="heading 3"/>
    <w:basedOn w:val="Style_7"/>
    <w:next w:val="Style_7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7_ch"/>
    <w:link w:val="Style_19"/>
    <w:rPr>
      <w:rFonts w:ascii="Cambria" w:hAnsi="Cambria"/>
      <w:b w:val="1"/>
      <w:sz w:val="26"/>
    </w:rPr>
  </w:style>
  <w:style w:styleId="Style_3" w:type="paragraph">
    <w:name w:val="footer"/>
    <w:basedOn w:val="Style_7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7_ch"/>
    <w:link w:val="Style_3"/>
  </w:style>
  <w:style w:styleId="Style_20" w:type="paragraph">
    <w:name w:val="Знак1"/>
    <w:basedOn w:val="Style_7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7_ch"/>
    <w:link w:val="Style_20"/>
    <w:rPr>
      <w:rFonts w:ascii="Tahoma" w:hAnsi="Tahoma"/>
    </w:rPr>
  </w:style>
  <w:style w:styleId="Style_21" w:type="paragraph">
    <w:name w:val="Основной текст1"/>
    <w:link w:val="Style_21_ch"/>
    <w:rPr>
      <w:rFonts w:ascii="Courier New" w:hAnsi="Courier New"/>
      <w:color w:val="000000"/>
      <w:spacing w:val="0"/>
      <w:sz w:val="18"/>
      <w:highlight w:val="white"/>
    </w:rPr>
  </w:style>
  <w:style w:styleId="Style_21_ch" w:type="character">
    <w:name w:val="Основной текст1"/>
    <w:link w:val="Style_21"/>
    <w:rPr>
      <w:rFonts w:ascii="Courier New" w:hAnsi="Courier New"/>
      <w:color w:val="000000"/>
      <w:spacing w:val="0"/>
      <w:sz w:val="18"/>
      <w:highlight w:val="white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No Spacing"/>
    <w:link w:val="Style_23_ch"/>
    <w:rPr>
      <w:rFonts w:ascii="Calibri" w:hAnsi="Calibri"/>
      <w:sz w:val="22"/>
    </w:rPr>
  </w:style>
  <w:style w:styleId="Style_23_ch" w:type="character">
    <w:name w:val="No Spacing"/>
    <w:link w:val="Style_23"/>
    <w:rPr>
      <w:rFonts w:ascii="Calibri" w:hAnsi="Calibri"/>
      <w:sz w:val="22"/>
    </w:rPr>
  </w:style>
  <w:style w:styleId="Style_24" w:type="paragraph">
    <w:name w:val="toc 3"/>
    <w:next w:val="Style_7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List Paragraph"/>
    <w:basedOn w:val="Style_7"/>
    <w:link w:val="Style_25_ch"/>
    <w:pPr>
      <w:ind w:firstLine="0" w:left="720"/>
    </w:pPr>
  </w:style>
  <w:style w:styleId="Style_25_ch" w:type="character">
    <w:name w:val="List Paragraph"/>
    <w:basedOn w:val="Style_7_ch"/>
    <w:link w:val="Style_25"/>
  </w:style>
  <w:style w:styleId="Style_4" w:type="paragraph">
    <w:name w:val="Postan"/>
    <w:basedOn w:val="Style_7"/>
    <w:link w:val="Style_4_ch"/>
    <w:pPr>
      <w:ind/>
      <w:jc w:val="center"/>
    </w:pPr>
    <w:rPr>
      <w:sz w:val="28"/>
    </w:rPr>
  </w:style>
  <w:style w:styleId="Style_4_ch" w:type="character">
    <w:name w:val="Postan"/>
    <w:basedOn w:val="Style_7_ch"/>
    <w:link w:val="Style_4"/>
    <w:rPr>
      <w:sz w:val="28"/>
    </w:rPr>
  </w:style>
  <w:style w:styleId="Style_26" w:type="paragraph">
    <w:name w:val="Normal (Web)"/>
    <w:basedOn w:val="Style_7"/>
    <w:link w:val="Style_26_ch"/>
    <w:pPr>
      <w:spacing w:afterAutospacing="on" w:beforeAutospacing="on"/>
      <w:ind/>
    </w:pPr>
    <w:rPr>
      <w:sz w:val="24"/>
    </w:rPr>
  </w:style>
  <w:style w:styleId="Style_26_ch" w:type="character">
    <w:name w:val="Normal (Web)"/>
    <w:basedOn w:val="Style_7_ch"/>
    <w:link w:val="Style_26"/>
    <w:rPr>
      <w:sz w:val="24"/>
    </w:rPr>
  </w:style>
  <w:style w:styleId="Style_27" w:type="paragraph">
    <w:name w:val="heading 5"/>
    <w:next w:val="Style_7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Знак11"/>
    <w:basedOn w:val="Style_7"/>
    <w:link w:val="Style_32_ch"/>
    <w:pPr>
      <w:spacing w:afterAutospacing="on" w:beforeAutospacing="on"/>
      <w:ind/>
    </w:pPr>
    <w:rPr>
      <w:rFonts w:ascii="Tahoma" w:hAnsi="Tahoma"/>
    </w:rPr>
  </w:style>
  <w:style w:styleId="Style_32_ch" w:type="character">
    <w:name w:val="Знак11"/>
    <w:basedOn w:val="Style_7_ch"/>
    <w:link w:val="Style_32"/>
    <w:rPr>
      <w:rFonts w:ascii="Tahoma" w:hAnsi="Tahoma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Body text"/>
    <w:link w:val="Style_34_ch"/>
    <w:rPr>
      <w:rFonts w:ascii="Book Antiqua" w:hAnsi="Book Antiqua"/>
      <w:color w:val="000000"/>
      <w:spacing w:val="0"/>
      <w:sz w:val="29"/>
      <w:u w:val="none"/>
    </w:rPr>
  </w:style>
  <w:style w:styleId="Style_34_ch" w:type="character">
    <w:name w:val="Body text"/>
    <w:link w:val="Style_34"/>
    <w:rPr>
      <w:rFonts w:ascii="Book Antiqua" w:hAnsi="Book Antiqua"/>
      <w:color w:val="000000"/>
      <w:spacing w:val="0"/>
      <w:sz w:val="29"/>
      <w:u w:val="none"/>
    </w:rPr>
  </w:style>
  <w:style w:styleId="Style_35" w:type="paragraph">
    <w:name w:val="Balloon Text"/>
    <w:basedOn w:val="Style_7"/>
    <w:link w:val="Style_35_ch"/>
    <w:rPr>
      <w:rFonts w:ascii="Tahoma" w:hAnsi="Tahoma"/>
      <w:sz w:val="16"/>
    </w:rPr>
  </w:style>
  <w:style w:styleId="Style_35_ch" w:type="character">
    <w:name w:val="Balloon Text"/>
    <w:basedOn w:val="Style_7_ch"/>
    <w:link w:val="Style_35"/>
    <w:rPr>
      <w:rFonts w:ascii="Tahoma" w:hAnsi="Tahoma"/>
      <w:sz w:val="16"/>
    </w:rPr>
  </w:style>
  <w:style w:styleId="Style_36" w:type="paragraph">
    <w:name w:val="Отчетный"/>
    <w:basedOn w:val="Style_7"/>
    <w:link w:val="Style_36_ch"/>
    <w:pPr>
      <w:spacing w:after="120" w:line="360" w:lineRule="auto"/>
      <w:ind w:firstLine="720" w:left="0"/>
      <w:jc w:val="both"/>
    </w:pPr>
    <w:rPr>
      <w:sz w:val="26"/>
    </w:rPr>
  </w:style>
  <w:style w:styleId="Style_36_ch" w:type="character">
    <w:name w:val="Отчетный"/>
    <w:basedOn w:val="Style_7_ch"/>
    <w:link w:val="Style_36"/>
    <w:rPr>
      <w:sz w:val="26"/>
    </w:rPr>
  </w:style>
  <w:style w:styleId="Style_37" w:type="paragraph">
    <w:name w:val="toc 9"/>
    <w:next w:val="Style_7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38" w:type="paragraph">
    <w:name w:val="Body Text Indent 3"/>
    <w:basedOn w:val="Style_7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7_ch"/>
    <w:link w:val="Style_38"/>
    <w:rPr>
      <w:sz w:val="16"/>
    </w:rPr>
  </w:style>
  <w:style w:styleId="Style_39" w:type="paragraph">
    <w:name w:val="ConsPlusCell"/>
    <w:link w:val="Style_39_ch"/>
    <w:rPr>
      <w:sz w:val="28"/>
    </w:rPr>
  </w:style>
  <w:style w:styleId="Style_39_ch" w:type="character">
    <w:name w:val="ConsPlusCell"/>
    <w:link w:val="Style_39"/>
    <w:rPr>
      <w:sz w:val="28"/>
    </w:rPr>
  </w:style>
  <w:style w:styleId="Style_40" w:type="paragraph">
    <w:name w:val="toc 8"/>
    <w:next w:val="Style_7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Subtitle"/>
    <w:basedOn w:val="Style_7"/>
    <w:link w:val="Style_42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2_ch" w:type="character">
    <w:name w:val="Subtitle"/>
    <w:basedOn w:val="Style_7_ch"/>
    <w:link w:val="Style_42"/>
    <w:rPr>
      <w:b w:val="1"/>
      <w:sz w:val="26"/>
    </w:rPr>
  </w:style>
  <w:style w:styleId="Style_43" w:type="paragraph">
    <w:name w:val="ConsPlusNormal"/>
    <w:link w:val="Style_43_ch"/>
    <w:pPr>
      <w:widowControl w:val="0"/>
      <w:ind w:firstLine="720" w:left="0"/>
    </w:pPr>
    <w:rPr>
      <w:rFonts w:ascii="Arial" w:hAnsi="Arial"/>
    </w:rPr>
  </w:style>
  <w:style w:styleId="Style_43_ch" w:type="character">
    <w:name w:val="ConsPlusNormal"/>
    <w:link w:val="Style_43"/>
    <w:rPr>
      <w:rFonts w:ascii="Arial" w:hAnsi="Arial"/>
    </w:rPr>
  </w:style>
  <w:style w:styleId="Style_6" w:type="paragraph">
    <w:name w:val="ConsPlusTitle"/>
    <w:link w:val="Style_6_ch"/>
    <w:pPr>
      <w:widowControl w:val="0"/>
      <w:ind/>
    </w:pPr>
    <w:rPr>
      <w:rFonts w:ascii="Arial" w:hAnsi="Arial"/>
      <w:b w:val="1"/>
    </w:rPr>
  </w:style>
  <w:style w:styleId="Style_6_ch" w:type="character">
    <w:name w:val="ConsPlusTitle"/>
    <w:link w:val="Style_6"/>
    <w:rPr>
      <w:rFonts w:ascii="Arial" w:hAnsi="Arial"/>
      <w:b w:val="1"/>
    </w:rPr>
  </w:style>
  <w:style w:styleId="Style_44" w:type="paragraph">
    <w:name w:val="Title"/>
    <w:basedOn w:val="Style_7"/>
    <w:link w:val="Style_44_ch"/>
    <w:uiPriority w:val="10"/>
    <w:qFormat/>
    <w:pPr>
      <w:ind/>
      <w:jc w:val="center"/>
    </w:pPr>
    <w:rPr>
      <w:sz w:val="28"/>
    </w:rPr>
  </w:style>
  <w:style w:styleId="Style_44_ch" w:type="character">
    <w:name w:val="Title"/>
    <w:basedOn w:val="Style_7_ch"/>
    <w:link w:val="Style_44"/>
    <w:rPr>
      <w:sz w:val="28"/>
    </w:rPr>
  </w:style>
  <w:style w:styleId="Style_45" w:type="paragraph">
    <w:name w:val="heading 4"/>
    <w:basedOn w:val="Style_7"/>
    <w:next w:val="Style_7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7_ch"/>
    <w:link w:val="Style_45"/>
    <w:rPr>
      <w:rFonts w:ascii="Calibri" w:hAnsi="Calibri"/>
      <w:b w:val="1"/>
      <w:sz w:val="28"/>
    </w:rPr>
  </w:style>
  <w:style w:styleId="Style_46" w:type="paragraph">
    <w:name w:val="Гипертекстовая ссылка"/>
    <w:link w:val="Style_46_ch"/>
    <w:rPr>
      <w:color w:val="000000"/>
      <w:sz w:val="26"/>
    </w:rPr>
  </w:style>
  <w:style w:styleId="Style_46_ch" w:type="character">
    <w:name w:val="Гипертекстовая ссылка"/>
    <w:link w:val="Style_46"/>
    <w:rPr>
      <w:color w:val="000000"/>
      <w:sz w:val="26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"/>
    <w:basedOn w:val="Style_7"/>
    <w:link w:val="Style_48_ch"/>
  </w:style>
  <w:style w:styleId="Style_48_ch" w:type="character">
    <w:name w:val="Body Text"/>
    <w:basedOn w:val="Style_7_ch"/>
    <w:link w:val="Style_48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2023-02-13T12:16:25Z</dcterms:modified>
</cp:coreProperties>
</file>