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p>
    <w:p w14:paraId="04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5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6000000">
      <w:pPr>
        <w:ind/>
        <w:jc w:val="center"/>
        <w:rPr>
          <w:rFonts w:ascii="Times New Roman" w:hAnsi="Times New Roman"/>
          <w:b w:val="1"/>
          <w:sz w:val="28"/>
        </w:rPr>
      </w:pPr>
      <w:r>
        <w:rPr>
          <w:rFonts w:ascii="Times New Roman" w:hAnsi="Times New Roman"/>
          <w:b w:val="1"/>
          <w:sz w:val="28"/>
        </w:rPr>
        <w:t>АДМИНИСТРАЦИЯ</w:t>
      </w:r>
    </w:p>
    <w:p w14:paraId="07000000">
      <w:pPr>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8000000">
      <w:pPr>
        <w:ind/>
        <w:jc w:val="center"/>
        <w:rPr>
          <w:rFonts w:ascii="Times New Roman" w:hAnsi="Times New Roman"/>
          <w:b w:val="1"/>
          <w:sz w:val="28"/>
        </w:rPr>
      </w:pPr>
    </w:p>
    <w:p w14:paraId="09000000">
      <w:pPr>
        <w:ind/>
        <w:jc w:val="center"/>
        <w:rPr>
          <w:rFonts w:ascii="Times New Roman" w:hAnsi="Times New Roman"/>
          <w:b w:val="1"/>
          <w:sz w:val="28"/>
        </w:rPr>
      </w:pPr>
      <w:r>
        <w:rPr>
          <w:rFonts w:ascii="Times New Roman" w:hAnsi="Times New Roman"/>
          <w:b w:val="1"/>
          <w:sz w:val="28"/>
        </w:rPr>
        <w:t>ПОСТАНОВЛЕНИЕ</w:t>
      </w:r>
    </w:p>
    <w:p w14:paraId="0A000000">
      <w:pPr>
        <w:rPr>
          <w:rFonts w:ascii="Times New Roman" w:hAnsi="Times New Roman"/>
          <w:b w:val="1"/>
          <w:sz w:val="28"/>
        </w:rPr>
      </w:pPr>
    </w:p>
    <w:p w14:paraId="0B000000">
      <w:pPr>
        <w:spacing w:line="360" w:lineRule="auto"/>
        <w:ind/>
        <w:rPr>
          <w:b w:val="0"/>
          <w:sz w:val="28"/>
        </w:rPr>
      </w:pPr>
      <w:r>
        <w:rPr>
          <w:color w:val="000000"/>
          <w:sz w:val="28"/>
        </w:rPr>
        <w:t xml:space="preserve"> «05» октября 2023</w:t>
      </w:r>
      <w:r>
        <w:rPr>
          <w:color w:val="000000"/>
          <w:sz w:val="28"/>
        </w:rPr>
        <w:t xml:space="preserve"> г.        </w:t>
      </w:r>
      <w:r>
        <w:rPr>
          <w:color w:val="000000"/>
          <w:sz w:val="28"/>
        </w:rPr>
        <w:t xml:space="preserve">                    № 125</w:t>
      </w:r>
      <w:r>
        <w:rPr>
          <w:sz w:val="28"/>
        </w:rPr>
        <w:t xml:space="preserve">                                             с. Кагальник</w:t>
      </w:r>
    </w:p>
    <w:p w14:paraId="0C000000">
      <w:pPr>
        <w:rPr>
          <w:sz w:val="28"/>
        </w:rPr>
      </w:pPr>
      <w:r>
        <w:rPr>
          <w:sz w:val="28"/>
        </w:rPr>
        <w:t xml:space="preserve">Об утверждении </w:t>
      </w:r>
      <w:r>
        <w:rPr>
          <w:sz w:val="28"/>
        </w:rPr>
        <w:t xml:space="preserve">отчета </w:t>
      </w:r>
      <w:r>
        <w:rPr>
          <w:sz w:val="28"/>
        </w:rPr>
        <w:t>о</w:t>
      </w:r>
      <w:r>
        <w:rPr>
          <w:sz w:val="28"/>
        </w:rPr>
        <w:t>б исполнении плана</w:t>
      </w:r>
      <w:r>
        <w:rPr>
          <w:sz w:val="28"/>
        </w:rPr>
        <w:t xml:space="preserve"> </w:t>
      </w:r>
    </w:p>
    <w:p w14:paraId="0D000000">
      <w:pPr>
        <w:rPr>
          <w:sz w:val="28"/>
        </w:rPr>
      </w:pPr>
      <w:r>
        <w:rPr>
          <w:sz w:val="28"/>
        </w:rPr>
        <w:t>р</w:t>
      </w:r>
      <w:r>
        <w:rPr>
          <w:sz w:val="28"/>
        </w:rPr>
        <w:t xml:space="preserve">еализации </w:t>
      </w:r>
      <w:r>
        <w:rPr>
          <w:sz w:val="28"/>
        </w:rPr>
        <w:t>муниципальной</w:t>
      </w:r>
      <w:r>
        <w:rPr>
          <w:sz w:val="28"/>
        </w:rPr>
        <w:t xml:space="preserve"> </w:t>
      </w:r>
      <w:r>
        <w:rPr>
          <w:sz w:val="28"/>
        </w:rPr>
        <w:t xml:space="preserve">программы </w:t>
      </w:r>
    </w:p>
    <w:p w14:paraId="0E000000">
      <w:pPr>
        <w:rPr>
          <w:sz w:val="28"/>
        </w:rPr>
      </w:pPr>
      <w:r>
        <w:rPr>
          <w:sz w:val="28"/>
        </w:rPr>
        <w:t xml:space="preserve">Кагальницкого сельского поселения </w:t>
      </w:r>
    </w:p>
    <w:p w14:paraId="0F000000">
      <w:pPr>
        <w:rPr>
          <w:sz w:val="28"/>
        </w:rPr>
      </w:pPr>
      <w:r>
        <w:rPr>
          <w:sz w:val="28"/>
        </w:rPr>
        <w:t>«</w:t>
      </w:r>
      <w:r>
        <w:rPr>
          <w:sz w:val="28"/>
        </w:rPr>
        <w:t>Участие в предупреждении и ликвидации</w:t>
      </w:r>
    </w:p>
    <w:p w14:paraId="10000000">
      <w:pPr>
        <w:rPr>
          <w:sz w:val="28"/>
        </w:rPr>
      </w:pPr>
      <w:r>
        <w:rPr>
          <w:sz w:val="28"/>
        </w:rPr>
        <w:t xml:space="preserve"> последствий чрезвычайных ситуаций </w:t>
      </w:r>
    </w:p>
    <w:p w14:paraId="11000000">
      <w:pPr>
        <w:rPr>
          <w:sz w:val="28"/>
        </w:rPr>
      </w:pPr>
      <w:r>
        <w:rPr>
          <w:sz w:val="28"/>
        </w:rPr>
        <w:t xml:space="preserve">в </w:t>
      </w:r>
      <w:r>
        <w:rPr>
          <w:sz w:val="28"/>
        </w:rPr>
        <w:t xml:space="preserve">границах </w:t>
      </w:r>
      <w:r>
        <w:rPr>
          <w:sz w:val="28"/>
        </w:rPr>
        <w:t xml:space="preserve"> поселения, пожарной </w:t>
      </w:r>
    </w:p>
    <w:p w14:paraId="12000000">
      <w:pPr>
        <w:rPr>
          <w:sz w:val="28"/>
        </w:rPr>
      </w:pPr>
      <w:r>
        <w:rPr>
          <w:sz w:val="28"/>
        </w:rPr>
        <w:t>безопасн</w:t>
      </w:r>
      <w:r>
        <w:rPr>
          <w:sz w:val="28"/>
        </w:rPr>
        <w:t>о</w:t>
      </w:r>
      <w:r>
        <w:rPr>
          <w:sz w:val="28"/>
        </w:rPr>
        <w:t>сти</w:t>
      </w:r>
      <w:r>
        <w:rPr>
          <w:sz w:val="28"/>
        </w:rPr>
        <w:t>»</w:t>
      </w:r>
      <w:r>
        <w:t xml:space="preserve"> </w:t>
      </w:r>
      <w:r>
        <w:t xml:space="preserve"> </w:t>
      </w:r>
      <w:r>
        <w:rPr>
          <w:rStyle w:val="Style_4_ch"/>
          <w:sz w:val="28"/>
        </w:rPr>
        <w:t>за 9 месяцев 2023 года</w:t>
      </w:r>
    </w:p>
    <w:p w14:paraId="13000000">
      <w:pPr>
        <w:rPr>
          <w:sz w:val="28"/>
        </w:rPr>
      </w:pPr>
    </w:p>
    <w:p w14:paraId="14000000">
      <w:pPr>
        <w:ind w:firstLine="567" w:left="0"/>
        <w:jc w:val="both"/>
        <w:rPr>
          <w:sz w:val="28"/>
        </w:rPr>
      </w:pPr>
      <w:r>
        <w:rPr>
          <w:sz w:val="28"/>
        </w:rPr>
        <w:tab/>
      </w:r>
      <w:r>
        <w:rPr>
          <w:sz w:val="28"/>
        </w:rPr>
        <w:t xml:space="preserve">В соответствии с постановлениями Администрации </w:t>
      </w:r>
      <w:r>
        <w:rPr>
          <w:sz w:val="28"/>
        </w:rPr>
        <w:t>Кагальницкого сельского  поселения</w:t>
      </w:r>
      <w:r>
        <w:rPr>
          <w:sz w:val="28"/>
        </w:rPr>
        <w:t xml:space="preserve"> от 22.10.2018 г. №134 «</w:t>
      </w:r>
      <w:r>
        <w:rPr>
          <w:sz w:val="28"/>
        </w:rPr>
        <w:t>Об утверждении Порядка разработки, реализ</w:t>
      </w:r>
      <w:r>
        <w:rPr>
          <w:sz w:val="28"/>
        </w:rPr>
        <w:t>а</w:t>
      </w:r>
      <w:r>
        <w:rPr>
          <w:sz w:val="28"/>
        </w:rPr>
        <w:t>ции и оценки эффективности муниципальных программ К</w:t>
      </w:r>
      <w:r>
        <w:rPr>
          <w:sz w:val="28"/>
        </w:rPr>
        <w:t>а</w:t>
      </w:r>
      <w:r>
        <w:rPr>
          <w:sz w:val="28"/>
        </w:rPr>
        <w:t>гальницкого сельского поселения</w:t>
      </w:r>
      <w:r>
        <w:rPr>
          <w:sz w:val="28"/>
        </w:rPr>
        <w:t xml:space="preserve">»,  </w:t>
      </w:r>
      <w:r>
        <w:rPr>
          <w:rStyle w:val="Style_5_ch"/>
          <w:sz w:val="28"/>
        </w:rPr>
        <w:t>от 22</w:t>
      </w:r>
      <w:r>
        <w:rPr>
          <w:sz w:val="28"/>
        </w:rPr>
        <w:t xml:space="preserve">.10.2018 г. №135 «Об утверждении Методических рекомендаций по разработке и реализации муниципальных программ Кагальницкого сельского поселения», </w:t>
      </w:r>
      <w:r>
        <w:rPr>
          <w:spacing w:val="-4"/>
          <w:sz w:val="28"/>
        </w:rPr>
        <w:t>распоряжением</w:t>
      </w:r>
      <w:r>
        <w:rPr>
          <w:sz w:val="28"/>
        </w:rPr>
        <w:t xml:space="preserve"> Администр</w:t>
      </w:r>
      <w:r>
        <w:rPr>
          <w:sz w:val="28"/>
        </w:rPr>
        <w:t>а</w:t>
      </w:r>
      <w:r>
        <w:rPr>
          <w:sz w:val="28"/>
        </w:rPr>
        <w:t>ции Кагальницкого сельского поселения от 17.10.2018 г. №41 «Об утверждении Перечня муниципальных программ Кагал</w:t>
      </w:r>
      <w:r>
        <w:rPr>
          <w:sz w:val="28"/>
        </w:rPr>
        <w:t>ь</w:t>
      </w:r>
      <w:r>
        <w:rPr>
          <w:sz w:val="28"/>
        </w:rPr>
        <w:t>ницкого сельского поселения» Администрация Кагальницкого сельского поселения и постановлением Администрации Кагальницкого сельского поселения от 30.12.2022 г. №188 «Об утверждении Плана реализации муниципальной пр</w:t>
      </w:r>
      <w:r>
        <w:rPr>
          <w:sz w:val="28"/>
        </w:rPr>
        <w:t>о</w:t>
      </w:r>
      <w:r>
        <w:rPr>
          <w:sz w:val="28"/>
        </w:rPr>
        <w:t>граммы Кагальницкого сельского поселения «Участие в предупреждении и ликвидации последствий чрезвычайных ситуаций в границах поселения, пожарной безопасности</w:t>
      </w:r>
      <w:r>
        <w:rPr>
          <w:sz w:val="28"/>
        </w:rPr>
        <w:t xml:space="preserve">» на 2023 год», </w:t>
      </w:r>
    </w:p>
    <w:p w14:paraId="15000000">
      <w:pPr>
        <w:ind w:firstLine="709" w:left="0"/>
        <w:rPr>
          <w:b w:val="0"/>
          <w:sz w:val="28"/>
        </w:rPr>
      </w:pPr>
      <w:r>
        <w:rPr>
          <w:b w:val="1"/>
          <w:sz w:val="28"/>
        </w:rPr>
        <w:t xml:space="preserve">                                   </w:t>
      </w:r>
      <w:r>
        <w:rPr>
          <w:b w:val="1"/>
          <w:sz w:val="28"/>
        </w:rPr>
        <w:t xml:space="preserve">     </w:t>
      </w:r>
      <w:r>
        <w:rPr>
          <w:b w:val="0"/>
          <w:sz w:val="28"/>
        </w:rPr>
        <w:t xml:space="preserve">     </w:t>
      </w:r>
      <w:r>
        <w:rPr>
          <w:b w:val="0"/>
          <w:sz w:val="28"/>
        </w:rPr>
        <w:t>ПОСТАНОВЛЯЮ:</w:t>
      </w:r>
    </w:p>
    <w:p w14:paraId="16000000">
      <w:pPr>
        <w:ind w:firstLine="709" w:left="0"/>
        <w:rPr>
          <w:sz w:val="28"/>
        </w:rPr>
      </w:pPr>
    </w:p>
    <w:p w14:paraId="17000000">
      <w:pPr>
        <w:ind w:firstLine="709" w:left="0"/>
        <w:jc w:val="both"/>
        <w:rPr>
          <w:sz w:val="28"/>
        </w:rPr>
      </w:pPr>
      <w:r>
        <w:rPr>
          <w:sz w:val="28"/>
        </w:rPr>
        <w:t>1.</w:t>
      </w:r>
      <w:r>
        <w:rPr>
          <w:sz w:val="28"/>
        </w:rPr>
        <w:t xml:space="preserve"> </w:t>
      </w:r>
      <w:r>
        <w:rPr>
          <w:sz w:val="28"/>
        </w:rPr>
        <w:t>Утвердить отчёт об исполнении плана реализации муниципальной пр</w:t>
      </w:r>
      <w:r>
        <w:rPr>
          <w:sz w:val="28"/>
        </w:rPr>
        <w:t>о</w:t>
      </w:r>
      <w:r>
        <w:rPr>
          <w:sz w:val="28"/>
        </w:rPr>
        <w:t>граммы Кагальницкого сельского поселения</w:t>
      </w:r>
      <w:r>
        <w:rPr>
          <w:sz w:val="28"/>
        </w:rPr>
        <w:t xml:space="preserve"> </w:t>
      </w:r>
      <w:r>
        <w:rPr>
          <w:sz w:val="28"/>
        </w:rPr>
        <w:t xml:space="preserve">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безопасности</w:t>
      </w:r>
      <w:r>
        <w:rPr>
          <w:sz w:val="28"/>
        </w:rPr>
        <w:t>»</w:t>
      </w:r>
      <w:r>
        <w:rPr>
          <w:sz w:val="28"/>
        </w:rPr>
        <w:t xml:space="preserve"> </w:t>
      </w:r>
      <w:r>
        <w:rPr>
          <w:rStyle w:val="Style_4_ch"/>
          <w:sz w:val="28"/>
        </w:rPr>
        <w:t>за 9 месяцев 2023 года</w:t>
      </w:r>
      <w:r>
        <w:rPr>
          <w:sz w:val="28"/>
        </w:rPr>
        <w:t xml:space="preserve">, </w:t>
      </w:r>
      <w:r>
        <w:rPr>
          <w:sz w:val="28"/>
        </w:rPr>
        <w:t>согласно приложению № 1.</w:t>
      </w:r>
    </w:p>
    <w:p w14:paraId="18000000">
      <w:pPr>
        <w:ind w:firstLine="709" w:left="0"/>
        <w:jc w:val="both"/>
        <w:rPr>
          <w:sz w:val="28"/>
        </w:rPr>
      </w:pPr>
      <w:r>
        <w:rPr>
          <w:sz w:val="28"/>
        </w:rPr>
        <w:t>2. Настоящее постановление подлежит опубликованию на официальном са</w:t>
      </w:r>
      <w:r>
        <w:rPr>
          <w:sz w:val="28"/>
        </w:rPr>
        <w:t>й</w:t>
      </w:r>
      <w:r>
        <w:rPr>
          <w:sz w:val="28"/>
        </w:rPr>
        <w:t>те Администрации Кагальни</w:t>
      </w:r>
      <w:r>
        <w:rPr>
          <w:sz w:val="28"/>
        </w:rPr>
        <w:t>ц</w:t>
      </w:r>
      <w:r>
        <w:rPr>
          <w:sz w:val="28"/>
        </w:rPr>
        <w:t>кого сельского поселения.</w:t>
      </w:r>
    </w:p>
    <w:p w14:paraId="19000000">
      <w:pPr>
        <w:ind w:firstLine="567" w:left="0"/>
        <w:jc w:val="both"/>
        <w:rPr>
          <w:sz w:val="28"/>
        </w:rPr>
      </w:pPr>
      <w:r>
        <w:rPr>
          <w:sz w:val="28"/>
        </w:rPr>
        <w:t>3. Контроль за выполнением настоящего постановления оставляю за собой.</w:t>
      </w:r>
    </w:p>
    <w:p w14:paraId="1A000000">
      <w:pPr>
        <w:ind/>
        <w:jc w:val="both"/>
        <w:rPr>
          <w:sz w:val="28"/>
        </w:rPr>
      </w:pPr>
    </w:p>
    <w:p w14:paraId="1B000000">
      <w:pPr>
        <w:ind/>
        <w:jc w:val="both"/>
        <w:rPr>
          <w:sz w:val="28"/>
        </w:rPr>
      </w:pPr>
      <w:r>
        <w:rPr>
          <w:sz w:val="28"/>
        </w:rPr>
        <w:t>Глав</w:t>
      </w:r>
      <w:r>
        <w:rPr>
          <w:sz w:val="28"/>
        </w:rPr>
        <w:t>а</w:t>
      </w:r>
      <w:r>
        <w:rPr>
          <w:sz w:val="28"/>
        </w:rPr>
        <w:t xml:space="preserve"> Администрации</w:t>
      </w:r>
    </w:p>
    <w:p w14:paraId="1C000000">
      <w:pPr>
        <w:ind/>
        <w:jc w:val="both"/>
        <w:rPr>
          <w:sz w:val="28"/>
        </w:rPr>
      </w:pPr>
      <w:r>
        <w:rPr>
          <w:sz w:val="28"/>
        </w:rPr>
        <w:t>Кагальницкого сельского поселения</w:t>
      </w:r>
      <w:r>
        <w:rPr>
          <w:sz w:val="28"/>
        </w:rPr>
        <w:tab/>
      </w:r>
      <w:r>
        <w:rPr>
          <w:sz w:val="28"/>
        </w:rPr>
        <w:tab/>
      </w:r>
      <w:r>
        <w:rPr>
          <w:sz w:val="28"/>
        </w:rPr>
        <w:tab/>
      </w:r>
      <w:r>
        <w:rPr>
          <w:sz w:val="28"/>
        </w:rPr>
        <w:tab/>
      </w:r>
      <w:r>
        <w:rPr>
          <w:sz w:val="28"/>
        </w:rPr>
        <w:t xml:space="preserve">           </w:t>
      </w:r>
      <w:r>
        <w:rPr>
          <w:sz w:val="28"/>
        </w:rPr>
        <w:t>К.А.Малерян</w:t>
      </w:r>
    </w:p>
    <w:p w14:paraId="1D000000">
      <w:pPr>
        <w:pStyle w:val="Style_6"/>
        <w:rPr>
          <w:rFonts w:ascii="Times New Roman" w:hAnsi="Times New Roman"/>
        </w:rPr>
      </w:pPr>
    </w:p>
    <w:p w14:paraId="1E000000">
      <w:pPr>
        <w:sectPr>
          <w:footerReference r:id="rId1" w:type="default"/>
          <w:pgSz w:h="16840" w:orient="portrait" w:w="11907"/>
          <w:pgMar w:bottom="709" w:footer="720" w:gutter="0" w:header="720" w:left="1276" w:right="567" w:top="284"/>
        </w:sectPr>
      </w:pPr>
    </w:p>
    <w:p w14:paraId="1F000000">
      <w:pPr>
        <w:spacing w:line="264" w:lineRule="auto"/>
        <w:ind/>
        <w:jc w:val="right"/>
        <w:rPr>
          <w:sz w:val="24"/>
        </w:rPr>
      </w:pPr>
      <w:r>
        <w:rPr>
          <w:sz w:val="24"/>
        </w:rPr>
        <w:t xml:space="preserve">Приложение № 1 к постановлению Администрации </w:t>
      </w:r>
    </w:p>
    <w:p w14:paraId="20000000">
      <w:pPr>
        <w:spacing w:line="264" w:lineRule="auto"/>
        <w:ind/>
        <w:jc w:val="right"/>
        <w:rPr>
          <w:sz w:val="24"/>
        </w:rPr>
      </w:pPr>
      <w:r>
        <w:rPr>
          <w:sz w:val="24"/>
        </w:rPr>
        <w:t>Кагальницкого сельского поселения от 05.10.2023г. №125</w:t>
      </w:r>
    </w:p>
    <w:p w14:paraId="21000000">
      <w:pPr>
        <w:ind/>
        <w:jc w:val="right"/>
        <w:rPr>
          <w:sz w:val="24"/>
        </w:rPr>
      </w:pPr>
      <w:r>
        <w:rPr>
          <w:sz w:val="24"/>
        </w:rPr>
        <w:t xml:space="preserve">«Об утверждении отчёта об исполнении плана реализации </w:t>
      </w:r>
    </w:p>
    <w:p w14:paraId="22000000">
      <w:pPr>
        <w:ind/>
        <w:jc w:val="right"/>
        <w:rPr>
          <w:sz w:val="24"/>
        </w:rPr>
      </w:pPr>
      <w:r>
        <w:rPr>
          <w:sz w:val="24"/>
        </w:rPr>
        <w:t>муниципальной программы Кагальницкого</w:t>
      </w:r>
    </w:p>
    <w:p w14:paraId="23000000">
      <w:pPr>
        <w:spacing w:line="264" w:lineRule="auto"/>
        <w:ind/>
        <w:jc w:val="right"/>
        <w:rPr>
          <w:sz w:val="24"/>
        </w:rPr>
      </w:pPr>
      <w:r>
        <w:rPr>
          <w:sz w:val="24"/>
        </w:rPr>
        <w:t xml:space="preserve">сельского поселения </w:t>
      </w:r>
      <w:r>
        <w:rPr>
          <w:sz w:val="24"/>
        </w:rPr>
        <w:t xml:space="preserve">«Участие в предупреждении и ликвидации </w:t>
      </w:r>
    </w:p>
    <w:p w14:paraId="24000000">
      <w:pPr>
        <w:spacing w:line="264" w:lineRule="auto"/>
        <w:ind/>
        <w:jc w:val="right"/>
        <w:rPr>
          <w:sz w:val="24"/>
        </w:rPr>
      </w:pPr>
      <w:r>
        <w:rPr>
          <w:sz w:val="24"/>
        </w:rPr>
        <w:t xml:space="preserve">последствий чрезвычайных ситуаций в границах поселения, </w:t>
      </w:r>
    </w:p>
    <w:p w14:paraId="25000000">
      <w:pPr>
        <w:spacing w:line="264" w:lineRule="auto"/>
        <w:ind/>
        <w:jc w:val="right"/>
        <w:rPr>
          <w:sz w:val="28"/>
        </w:rPr>
      </w:pPr>
      <w:r>
        <w:rPr>
          <w:sz w:val="24"/>
        </w:rPr>
        <w:t>пожарной без</w:t>
      </w:r>
      <w:r>
        <w:rPr>
          <w:sz w:val="24"/>
        </w:rPr>
        <w:t>о</w:t>
      </w:r>
      <w:r>
        <w:rPr>
          <w:sz w:val="24"/>
        </w:rPr>
        <w:t>пасности»</w:t>
      </w:r>
      <w:r>
        <w:rPr>
          <w:rStyle w:val="Style_4_ch"/>
          <w:sz w:val="24"/>
        </w:rPr>
        <w:t xml:space="preserve"> </w:t>
      </w:r>
      <w:r>
        <w:rPr>
          <w:rStyle w:val="Style_4_ch"/>
          <w:sz w:val="24"/>
        </w:rPr>
        <w:t>за 9 месяцев 2023 года</w:t>
      </w:r>
      <w:r>
        <w:rPr>
          <w:sz w:val="24"/>
        </w:rPr>
        <w:t>»</w:t>
      </w:r>
    </w:p>
    <w:p w14:paraId="26000000">
      <w:pPr>
        <w:widowControl w:val="0"/>
        <w:ind/>
        <w:jc w:val="center"/>
        <w:rPr>
          <w:sz w:val="24"/>
        </w:rPr>
      </w:pPr>
      <w:bookmarkStart w:id="1" w:name="Par1054"/>
      <w:bookmarkEnd w:id="1"/>
      <w:r>
        <w:rPr>
          <w:sz w:val="24"/>
        </w:rPr>
        <w:t>ОТЧЕТ</w:t>
      </w:r>
    </w:p>
    <w:p w14:paraId="27000000">
      <w:pPr>
        <w:widowControl w:val="0"/>
        <w:ind/>
        <w:jc w:val="center"/>
        <w:rPr>
          <w:sz w:val="28"/>
        </w:rPr>
      </w:pPr>
      <w:r>
        <w:rPr>
          <w:sz w:val="24"/>
        </w:rPr>
        <w:t xml:space="preserve">об исполнении плана реализации муниципальной программы </w:t>
      </w:r>
      <w:r>
        <w:rPr>
          <w:sz w:val="24"/>
        </w:rPr>
        <w:t xml:space="preserve"> </w:t>
      </w:r>
      <w:r>
        <w:rPr>
          <w:sz w:val="24"/>
        </w:rPr>
        <w:t xml:space="preserve">«Участие в предупреждении и ликвидации последствий чрезвычайных ситуаций в границах поселения, пожарной безопасности» </w:t>
      </w:r>
      <w:r>
        <w:rPr>
          <w:rStyle w:val="Style_4_ch"/>
          <w:sz w:val="24"/>
        </w:rPr>
        <w:t>за 9 месяцев 2023 года</w:t>
      </w:r>
    </w:p>
    <w:tbl>
      <w:tblPr>
        <w:tblStyle w:val="Style_7"/>
        <w:tblInd w:type="dxa" w:w="-351"/>
        <w:tblLayout w:type="fixed"/>
        <w:tblCellMar>
          <w:left w:type="dxa" w:w="75"/>
          <w:right w:type="dxa" w:w="75"/>
        </w:tblCellMar>
      </w:tblPr>
      <w:tblGrid>
        <w:gridCol w:w="554"/>
        <w:gridCol w:w="3317"/>
        <w:gridCol w:w="1929"/>
        <w:gridCol w:w="3315"/>
        <w:gridCol w:w="1243"/>
        <w:gridCol w:w="1244"/>
        <w:gridCol w:w="914"/>
        <w:gridCol w:w="990"/>
        <w:gridCol w:w="630"/>
        <w:gridCol w:w="930"/>
      </w:tblGrid>
      <w:tr>
        <w:trPr>
          <w:trHeight w:hRule="atLeast" w:val="573"/>
        </w:trPr>
        <w:tc>
          <w:tcPr>
            <w:tcW w:type="dxa" w:w="554"/>
            <w:vMerge w:val="restart"/>
            <w:tcBorders>
              <w:top w:color="000000" w:sz="4" w:val="single"/>
              <w:left w:color="000000" w:sz="4" w:val="single"/>
              <w:bottom w:color="000000" w:sz="4" w:val="single"/>
              <w:right w:color="000000" w:sz="4" w:val="single"/>
            </w:tcBorders>
            <w:tcMar>
              <w:left w:type="dxa" w:w="75"/>
              <w:right w:type="dxa" w:w="75"/>
            </w:tcMar>
          </w:tcPr>
          <w:p w14:paraId="28000000">
            <w:pPr>
              <w:widowControl w:val="0"/>
              <w:ind/>
              <w:jc w:val="center"/>
              <w:rPr>
                <w:sz w:val="24"/>
              </w:rPr>
            </w:pPr>
            <w:bookmarkStart w:id="2" w:name="Par1326"/>
            <w:bookmarkEnd w:id="2"/>
            <w:r>
              <w:rPr>
                <w:sz w:val="24"/>
              </w:rPr>
              <w:t>№ п/п</w:t>
            </w:r>
          </w:p>
        </w:tc>
        <w:tc>
          <w:tcPr>
            <w:tcW w:type="dxa" w:w="3317"/>
            <w:vMerge w:val="restart"/>
            <w:tcBorders>
              <w:top w:color="000000" w:sz="4" w:val="single"/>
              <w:left w:color="000000" w:sz="4" w:val="single"/>
              <w:bottom w:color="000000" w:sz="4" w:val="single"/>
              <w:right w:color="000000" w:sz="4" w:val="single"/>
            </w:tcBorders>
            <w:tcMar>
              <w:left w:type="dxa" w:w="75"/>
              <w:right w:type="dxa" w:w="75"/>
            </w:tcMar>
          </w:tcPr>
          <w:p w14:paraId="29000000">
            <w:pPr>
              <w:widowControl w:val="0"/>
              <w:ind/>
              <w:jc w:val="center"/>
              <w:rPr>
                <w:sz w:val="24"/>
              </w:rPr>
            </w:pPr>
            <w:r>
              <w:rPr>
                <w:sz w:val="24"/>
              </w:rPr>
              <w:t>Номер и наименование</w:t>
            </w:r>
          </w:p>
          <w:p w14:paraId="2A000000">
            <w:pPr>
              <w:widowControl w:val="0"/>
              <w:ind/>
              <w:jc w:val="center"/>
              <w:rPr>
                <w:sz w:val="24"/>
              </w:rPr>
            </w:pPr>
          </w:p>
        </w:tc>
        <w:tc>
          <w:tcPr>
            <w:tcW w:type="dxa" w:w="1929"/>
            <w:vMerge w:val="restart"/>
            <w:tcBorders>
              <w:top w:color="000000" w:sz="4" w:val="single"/>
              <w:left w:color="000000" w:sz="4" w:val="single"/>
              <w:bottom w:color="000000" w:sz="4" w:val="single"/>
              <w:right w:color="000000" w:sz="4" w:val="single"/>
            </w:tcBorders>
            <w:tcMar>
              <w:left w:type="dxa" w:w="75"/>
              <w:right w:type="dxa" w:w="75"/>
            </w:tcMar>
          </w:tcPr>
          <w:p w14:paraId="2B000000">
            <w:pPr>
              <w:widowControl w:val="0"/>
              <w:ind w:firstLine="0" w:left="-75"/>
              <w:jc w:val="center"/>
              <w:rPr>
                <w:b w:val="1"/>
                <w:sz w:val="24"/>
              </w:rPr>
            </w:pPr>
            <w:r>
              <w:rPr>
                <w:sz w:val="24"/>
              </w:rPr>
              <w:t xml:space="preserve">Ответственный </w:t>
            </w:r>
            <w:r>
              <w:rPr>
                <w:sz w:val="24"/>
              </w:rPr>
              <w:br/>
            </w:r>
            <w:r>
              <w:rPr>
                <w:sz w:val="24"/>
              </w:rPr>
              <w:t xml:space="preserve"> исполнитель, соисполн</w:t>
            </w:r>
            <w:r>
              <w:rPr>
                <w:sz w:val="24"/>
              </w:rPr>
              <w:t>и</w:t>
            </w:r>
            <w:r>
              <w:rPr>
                <w:sz w:val="24"/>
              </w:rPr>
              <w:t>тель, участник</w:t>
            </w:r>
            <w:r>
              <w:rPr>
                <w:sz w:val="24"/>
              </w:rPr>
              <w:br/>
            </w:r>
          </w:p>
        </w:tc>
        <w:tc>
          <w:tcPr>
            <w:tcW w:type="dxa" w:w="3315"/>
            <w:vMerge w:val="restart"/>
            <w:tcBorders>
              <w:top w:color="000000" w:sz="4" w:val="single"/>
              <w:left w:color="000000" w:sz="4" w:val="single"/>
              <w:bottom w:color="000000" w:sz="4" w:val="single"/>
              <w:right w:color="000000" w:sz="4" w:val="single"/>
            </w:tcBorders>
            <w:tcMar>
              <w:left w:type="dxa" w:w="75"/>
              <w:right w:type="dxa" w:w="75"/>
            </w:tcMar>
          </w:tcPr>
          <w:p w14:paraId="2C000000">
            <w:pPr>
              <w:widowControl w:val="0"/>
              <w:ind/>
              <w:jc w:val="center"/>
              <w:rPr>
                <w:sz w:val="24"/>
              </w:rPr>
            </w:pPr>
            <w:r>
              <w:rPr>
                <w:sz w:val="24"/>
              </w:rPr>
              <w:t>Резул</w:t>
            </w:r>
            <w:r>
              <w:rPr>
                <w:sz w:val="24"/>
              </w:rPr>
              <w:t>ь</w:t>
            </w:r>
            <w:r>
              <w:rPr>
                <w:sz w:val="24"/>
              </w:rPr>
              <w:t xml:space="preserve">тат </w:t>
            </w:r>
          </w:p>
          <w:p w14:paraId="2D000000">
            <w:pPr>
              <w:widowControl w:val="0"/>
              <w:ind/>
              <w:jc w:val="center"/>
              <w:rPr>
                <w:sz w:val="24"/>
              </w:rPr>
            </w:pPr>
            <w:r>
              <w:rPr>
                <w:sz w:val="24"/>
              </w:rPr>
              <w:t>реализ</w:t>
            </w:r>
            <w:r>
              <w:rPr>
                <w:sz w:val="24"/>
              </w:rPr>
              <w:t>а</w:t>
            </w:r>
            <w:r>
              <w:rPr>
                <w:sz w:val="24"/>
              </w:rPr>
              <w:t>ции (кра</w:t>
            </w:r>
            <w:r>
              <w:rPr>
                <w:sz w:val="24"/>
              </w:rPr>
              <w:t>т</w:t>
            </w:r>
            <w:r>
              <w:rPr>
                <w:sz w:val="24"/>
              </w:rPr>
              <w:t>кое опис</w:t>
            </w:r>
            <w:r>
              <w:rPr>
                <w:sz w:val="24"/>
              </w:rPr>
              <w:t>а</w:t>
            </w:r>
            <w:r>
              <w:rPr>
                <w:sz w:val="24"/>
              </w:rPr>
              <w:t>ние)</w:t>
            </w:r>
          </w:p>
        </w:tc>
        <w:tc>
          <w:tcPr>
            <w:tcW w:type="dxa" w:w="1243"/>
            <w:vMerge w:val="restart"/>
            <w:tcBorders>
              <w:top w:color="000000" w:sz="4" w:val="single"/>
              <w:left w:color="000000" w:sz="4" w:val="single"/>
              <w:bottom w:color="000000" w:sz="4" w:val="single"/>
              <w:right w:color="000000" w:sz="4" w:val="single"/>
            </w:tcBorders>
            <w:tcMar>
              <w:left w:type="dxa" w:w="75"/>
              <w:right w:type="dxa" w:w="75"/>
            </w:tcMar>
          </w:tcPr>
          <w:p w14:paraId="2E000000">
            <w:pPr>
              <w:widowControl w:val="0"/>
              <w:ind w:firstLine="0" w:left="-74" w:right="-75"/>
              <w:jc w:val="center"/>
              <w:rPr>
                <w:sz w:val="18"/>
              </w:rPr>
            </w:pPr>
            <w:r>
              <w:rPr>
                <w:sz w:val="18"/>
              </w:rPr>
              <w:t>Фактическая дата нач</w:t>
            </w:r>
            <w:r>
              <w:rPr>
                <w:sz w:val="18"/>
              </w:rPr>
              <w:t>а</w:t>
            </w:r>
            <w:r>
              <w:rPr>
                <w:sz w:val="18"/>
              </w:rPr>
              <w:t>ла</w:t>
            </w:r>
            <w:r>
              <w:rPr>
                <w:sz w:val="18"/>
              </w:rPr>
              <w:br/>
            </w:r>
            <w:r>
              <w:rPr>
                <w:sz w:val="18"/>
              </w:rPr>
              <w:t>реализации</w:t>
            </w:r>
          </w:p>
        </w:tc>
        <w:tc>
          <w:tcPr>
            <w:tcW w:type="dxa" w:w="1244"/>
            <w:vMerge w:val="restart"/>
            <w:tcBorders>
              <w:top w:color="000000" w:sz="4" w:val="single"/>
              <w:left w:color="000000" w:sz="4" w:val="single"/>
              <w:bottom w:color="000000" w:sz="4" w:val="single"/>
              <w:right w:color="000000" w:sz="4" w:val="single"/>
            </w:tcBorders>
            <w:tcMar>
              <w:left w:type="dxa" w:w="75"/>
              <w:right w:type="dxa" w:w="75"/>
            </w:tcMar>
          </w:tcPr>
          <w:p w14:paraId="2F000000">
            <w:pPr>
              <w:widowControl w:val="0"/>
              <w:ind/>
              <w:jc w:val="center"/>
              <w:rPr>
                <w:sz w:val="18"/>
              </w:rPr>
            </w:pPr>
            <w:r>
              <w:rPr>
                <w:sz w:val="18"/>
              </w:rPr>
              <w:t>Фактич</w:t>
            </w:r>
            <w:r>
              <w:rPr>
                <w:sz w:val="18"/>
              </w:rPr>
              <w:t>е</w:t>
            </w:r>
            <w:r>
              <w:rPr>
                <w:sz w:val="18"/>
              </w:rPr>
              <w:t>ская дата оконч</w:t>
            </w:r>
            <w:r>
              <w:rPr>
                <w:sz w:val="18"/>
              </w:rPr>
              <w:t>а</w:t>
            </w:r>
            <w:r>
              <w:rPr>
                <w:sz w:val="18"/>
              </w:rPr>
              <w:t>ния</w:t>
            </w:r>
            <w:r>
              <w:rPr>
                <w:sz w:val="18"/>
              </w:rPr>
              <w:br/>
            </w:r>
            <w:r>
              <w:rPr>
                <w:sz w:val="18"/>
              </w:rPr>
              <w:t>реализ</w:t>
            </w:r>
            <w:r>
              <w:rPr>
                <w:sz w:val="18"/>
              </w:rPr>
              <w:t>а</w:t>
            </w:r>
            <w:r>
              <w:rPr>
                <w:sz w:val="18"/>
              </w:rPr>
              <w:t xml:space="preserve">ции, </w:t>
            </w:r>
            <w:r>
              <w:rPr>
                <w:sz w:val="18"/>
              </w:rPr>
              <w:br/>
            </w:r>
            <w:r>
              <w:rPr>
                <w:sz w:val="18"/>
              </w:rPr>
              <w:t>наступл</w:t>
            </w:r>
            <w:r>
              <w:rPr>
                <w:sz w:val="18"/>
              </w:rPr>
              <w:t>е</w:t>
            </w:r>
            <w:r>
              <w:rPr>
                <w:sz w:val="18"/>
              </w:rPr>
              <w:t xml:space="preserve">ния </w:t>
            </w:r>
            <w:r>
              <w:rPr>
                <w:sz w:val="18"/>
              </w:rPr>
              <w:br/>
            </w:r>
            <w:r>
              <w:rPr>
                <w:sz w:val="18"/>
              </w:rPr>
              <w:t>контрол</w:t>
            </w:r>
            <w:r>
              <w:rPr>
                <w:sz w:val="18"/>
              </w:rPr>
              <w:t>ь</w:t>
            </w:r>
            <w:r>
              <w:rPr>
                <w:sz w:val="18"/>
              </w:rPr>
              <w:t xml:space="preserve">ного </w:t>
            </w:r>
            <w:r>
              <w:rPr>
                <w:sz w:val="18"/>
              </w:rPr>
              <w:br/>
            </w:r>
            <w:r>
              <w:rPr>
                <w:sz w:val="18"/>
              </w:rPr>
              <w:t>события</w:t>
            </w:r>
          </w:p>
        </w:tc>
        <w:tc>
          <w:tcPr>
            <w:tcW w:type="dxa" w:w="2534"/>
            <w:gridSpan w:val="3"/>
            <w:tcBorders>
              <w:top w:color="000000" w:sz="4" w:val="single"/>
              <w:left w:color="000000" w:sz="4" w:val="single"/>
              <w:bottom w:color="000000" w:sz="4" w:val="single"/>
              <w:right w:color="000000" w:sz="4" w:val="single"/>
            </w:tcBorders>
            <w:tcMar>
              <w:left w:type="dxa" w:w="75"/>
              <w:right w:type="dxa" w:w="75"/>
            </w:tcMar>
          </w:tcPr>
          <w:p w14:paraId="30000000">
            <w:pPr>
              <w:widowControl w:val="0"/>
              <w:ind/>
              <w:jc w:val="center"/>
              <w:rPr>
                <w:sz w:val="18"/>
              </w:rPr>
            </w:pPr>
            <w:r>
              <w:rPr>
                <w:sz w:val="18"/>
              </w:rPr>
              <w:t>Расходы бюджетов на реал</w:t>
            </w:r>
            <w:r>
              <w:rPr>
                <w:sz w:val="18"/>
              </w:rPr>
              <w:t>и</w:t>
            </w:r>
            <w:r>
              <w:rPr>
                <w:sz w:val="18"/>
              </w:rPr>
              <w:t>зацию муниципальной пр</w:t>
            </w:r>
            <w:r>
              <w:rPr>
                <w:sz w:val="18"/>
              </w:rPr>
              <w:t>о</w:t>
            </w:r>
            <w:r>
              <w:rPr>
                <w:sz w:val="18"/>
              </w:rPr>
              <w:t>граммы, тыс. рублей</w:t>
            </w:r>
          </w:p>
        </w:tc>
        <w:tc>
          <w:tcPr>
            <w:tcW w:type="dxa" w:w="930"/>
            <w:vMerge w:val="restart"/>
            <w:tcBorders>
              <w:top w:color="000000" w:sz="4" w:val="single"/>
              <w:left w:color="000000" w:sz="4" w:val="single"/>
              <w:bottom w:color="000000" w:sz="4" w:val="single"/>
              <w:right w:color="000000" w:sz="4" w:val="single"/>
            </w:tcBorders>
            <w:tcMar>
              <w:left w:type="dxa" w:w="75"/>
              <w:right w:type="dxa" w:w="75"/>
            </w:tcMar>
          </w:tcPr>
          <w:p w14:paraId="31000000">
            <w:pPr>
              <w:widowControl w:val="0"/>
              <w:ind/>
              <w:jc w:val="center"/>
              <w:rPr>
                <w:sz w:val="18"/>
              </w:rPr>
            </w:pPr>
            <w:r>
              <w:rPr>
                <w:sz w:val="18"/>
              </w:rPr>
              <w:t>Объемы н</w:t>
            </w:r>
            <w:r>
              <w:rPr>
                <w:sz w:val="18"/>
              </w:rPr>
              <w:t>е</w:t>
            </w:r>
            <w:r>
              <w:rPr>
                <w:sz w:val="18"/>
              </w:rPr>
              <w:t>освоенных средств и  пр</w:t>
            </w:r>
            <w:r>
              <w:rPr>
                <w:sz w:val="18"/>
              </w:rPr>
              <w:t>и</w:t>
            </w:r>
            <w:r>
              <w:rPr>
                <w:sz w:val="18"/>
              </w:rPr>
              <w:t xml:space="preserve">чины </w:t>
            </w:r>
            <w:r>
              <w:rPr>
                <w:sz w:val="18"/>
              </w:rPr>
              <w:t xml:space="preserve"> </w:t>
            </w:r>
            <w:r>
              <w:rPr>
                <w:sz w:val="18"/>
              </w:rPr>
              <w:t>их нео</w:t>
            </w:r>
            <w:r>
              <w:rPr>
                <w:sz w:val="18"/>
              </w:rPr>
              <w:t>с</w:t>
            </w:r>
            <w:r>
              <w:rPr>
                <w:sz w:val="18"/>
              </w:rPr>
              <w:t>воения</w:t>
            </w:r>
          </w:p>
        </w:tc>
      </w:tr>
      <w:tr>
        <w:trPr>
          <w:trHeight w:hRule="atLeast" w:val="720"/>
        </w:trPr>
        <w:tc>
          <w:tcPr>
            <w:tcW w:type="dxa" w:w="55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2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3"/>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14"/>
            <w:tcBorders>
              <w:left w:color="000000" w:sz="4" w:val="single"/>
              <w:bottom w:color="000000" w:sz="4" w:val="single"/>
              <w:right w:color="000000" w:sz="4" w:val="single"/>
            </w:tcBorders>
            <w:tcMar>
              <w:left w:type="dxa" w:w="75"/>
              <w:right w:type="dxa" w:w="75"/>
            </w:tcMar>
          </w:tcPr>
          <w:p w14:paraId="32000000">
            <w:pPr>
              <w:widowControl w:val="0"/>
              <w:ind w:firstLine="0" w:left="-75"/>
              <w:jc w:val="center"/>
              <w:rPr>
                <w:sz w:val="18"/>
              </w:rPr>
            </w:pPr>
            <w:r>
              <w:rPr>
                <w:sz w:val="18"/>
              </w:rPr>
              <w:t>предусмо</w:t>
            </w:r>
            <w:r>
              <w:rPr>
                <w:sz w:val="18"/>
              </w:rPr>
              <w:t>т</w:t>
            </w:r>
            <w:r>
              <w:rPr>
                <w:sz w:val="18"/>
              </w:rPr>
              <w:t>рено</w:t>
            </w:r>
          </w:p>
          <w:p w14:paraId="33000000">
            <w:pPr>
              <w:widowControl w:val="0"/>
              <w:ind w:firstLine="0" w:left="-75"/>
              <w:jc w:val="center"/>
              <w:rPr>
                <w:sz w:val="18"/>
              </w:rPr>
            </w:pPr>
            <w:r>
              <w:rPr>
                <w:sz w:val="18"/>
              </w:rPr>
              <w:t>муниц</w:t>
            </w:r>
            <w:r>
              <w:rPr>
                <w:sz w:val="18"/>
              </w:rPr>
              <w:t>и</w:t>
            </w:r>
            <w:r>
              <w:rPr>
                <w:sz w:val="18"/>
              </w:rPr>
              <w:t>пальной програ</w:t>
            </w:r>
            <w:r>
              <w:rPr>
                <w:sz w:val="18"/>
              </w:rPr>
              <w:t>м</w:t>
            </w:r>
            <w:r>
              <w:rPr>
                <w:sz w:val="18"/>
              </w:rPr>
              <w:t>мой</w:t>
            </w:r>
          </w:p>
        </w:tc>
        <w:tc>
          <w:tcPr>
            <w:tcW w:type="dxa" w:w="990"/>
            <w:tcBorders>
              <w:left w:color="000000" w:sz="4" w:val="single"/>
              <w:bottom w:color="000000" w:sz="4" w:val="single"/>
              <w:right w:color="000000" w:sz="4" w:val="single"/>
            </w:tcBorders>
            <w:tcMar>
              <w:left w:type="dxa" w:w="75"/>
              <w:right w:type="dxa" w:w="75"/>
            </w:tcMar>
          </w:tcPr>
          <w:p w14:paraId="34000000">
            <w:pPr>
              <w:widowControl w:val="0"/>
              <w:ind w:firstLine="0" w:left="-75"/>
              <w:jc w:val="center"/>
              <w:rPr>
                <w:sz w:val="18"/>
              </w:rPr>
            </w:pPr>
            <w:r>
              <w:rPr>
                <w:sz w:val="18"/>
              </w:rPr>
              <w:t>пред</w:t>
            </w:r>
            <w:r>
              <w:rPr>
                <w:sz w:val="18"/>
              </w:rPr>
              <w:t>у</w:t>
            </w:r>
            <w:r>
              <w:rPr>
                <w:sz w:val="18"/>
              </w:rPr>
              <w:t>смотрено сво</w:t>
            </w:r>
            <w:r>
              <w:rPr>
                <w:sz w:val="18"/>
              </w:rPr>
              <w:t>д</w:t>
            </w:r>
            <w:r>
              <w:rPr>
                <w:sz w:val="18"/>
              </w:rPr>
              <w:t>ной бюдже</w:t>
            </w:r>
            <w:r>
              <w:rPr>
                <w:sz w:val="18"/>
              </w:rPr>
              <w:t>т</w:t>
            </w:r>
            <w:r>
              <w:rPr>
                <w:sz w:val="18"/>
              </w:rPr>
              <w:t>ной ро</w:t>
            </w:r>
            <w:r>
              <w:rPr>
                <w:sz w:val="18"/>
              </w:rPr>
              <w:t>с</w:t>
            </w:r>
            <w:r>
              <w:rPr>
                <w:sz w:val="18"/>
              </w:rPr>
              <w:t>писью</w:t>
            </w:r>
          </w:p>
        </w:tc>
        <w:tc>
          <w:tcPr>
            <w:tcW w:type="dxa" w:w="630"/>
            <w:tcBorders>
              <w:left w:color="000000" w:sz="4" w:val="single"/>
              <w:bottom w:color="000000" w:sz="4" w:val="single"/>
              <w:right w:color="000000" w:sz="4" w:val="single"/>
            </w:tcBorders>
            <w:tcMar>
              <w:left w:type="dxa" w:w="75"/>
              <w:right w:type="dxa" w:w="75"/>
            </w:tcMar>
          </w:tcPr>
          <w:p w14:paraId="35000000">
            <w:pPr>
              <w:widowControl w:val="0"/>
              <w:ind w:firstLine="0" w:left="-76"/>
              <w:jc w:val="center"/>
              <w:rPr>
                <w:sz w:val="18"/>
              </w:rPr>
            </w:pPr>
            <w:r>
              <w:rPr>
                <w:sz w:val="18"/>
              </w:rPr>
              <w:t>факт на о</w:t>
            </w:r>
            <w:r>
              <w:rPr>
                <w:sz w:val="18"/>
              </w:rPr>
              <w:t>т</w:t>
            </w:r>
            <w:r>
              <w:rPr>
                <w:sz w:val="18"/>
              </w:rPr>
              <w:t xml:space="preserve">четную дату </w:t>
            </w:r>
          </w:p>
        </w:tc>
        <w:tc>
          <w:tcPr>
            <w:tcW w:type="dxa" w:w="930"/>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554"/>
            <w:tcBorders>
              <w:left w:color="000000" w:sz="4" w:val="single"/>
              <w:bottom w:color="000000" w:sz="4" w:val="single"/>
              <w:right w:color="000000" w:sz="4" w:val="single"/>
            </w:tcBorders>
            <w:tcMar>
              <w:left w:type="dxa" w:w="75"/>
              <w:right w:type="dxa" w:w="75"/>
            </w:tcMar>
          </w:tcPr>
          <w:p w14:paraId="36000000">
            <w:pPr>
              <w:widowControl w:val="0"/>
              <w:ind/>
              <w:jc w:val="center"/>
              <w:rPr>
                <w:sz w:val="24"/>
              </w:rPr>
            </w:pPr>
            <w:r>
              <w:rPr>
                <w:sz w:val="24"/>
              </w:rPr>
              <w:t>1</w:t>
            </w:r>
          </w:p>
        </w:tc>
        <w:tc>
          <w:tcPr>
            <w:tcW w:type="dxa" w:w="3317"/>
            <w:tcBorders>
              <w:left w:color="000000" w:sz="4" w:val="single"/>
              <w:bottom w:color="000000" w:sz="4" w:val="single"/>
              <w:right w:color="000000" w:sz="4" w:val="single"/>
            </w:tcBorders>
            <w:tcMar>
              <w:left w:type="dxa" w:w="75"/>
              <w:right w:type="dxa" w:w="75"/>
            </w:tcMar>
          </w:tcPr>
          <w:p w14:paraId="37000000">
            <w:pPr>
              <w:widowControl w:val="0"/>
              <w:ind/>
              <w:jc w:val="center"/>
              <w:rPr>
                <w:sz w:val="24"/>
              </w:rPr>
            </w:pPr>
            <w:r>
              <w:rPr>
                <w:sz w:val="24"/>
              </w:rPr>
              <w:t>2</w:t>
            </w:r>
          </w:p>
        </w:tc>
        <w:tc>
          <w:tcPr>
            <w:tcW w:type="dxa" w:w="1929"/>
            <w:tcBorders>
              <w:left w:color="000000" w:sz="4" w:val="single"/>
              <w:bottom w:color="000000" w:sz="4" w:val="single"/>
              <w:right w:color="000000" w:sz="4" w:val="single"/>
            </w:tcBorders>
            <w:tcMar>
              <w:left w:type="dxa" w:w="75"/>
              <w:right w:type="dxa" w:w="75"/>
            </w:tcMar>
          </w:tcPr>
          <w:p w14:paraId="38000000">
            <w:pPr>
              <w:widowControl w:val="0"/>
              <w:ind/>
              <w:jc w:val="center"/>
              <w:rPr>
                <w:sz w:val="24"/>
              </w:rPr>
            </w:pPr>
            <w:r>
              <w:rPr>
                <w:sz w:val="24"/>
              </w:rPr>
              <w:t>3</w:t>
            </w:r>
          </w:p>
        </w:tc>
        <w:tc>
          <w:tcPr>
            <w:tcW w:type="dxa" w:w="3315"/>
            <w:tcBorders>
              <w:left w:color="000000" w:sz="4" w:val="single"/>
              <w:bottom w:color="000000" w:sz="4" w:val="single"/>
              <w:right w:color="000000" w:sz="4" w:val="single"/>
            </w:tcBorders>
            <w:tcMar>
              <w:left w:type="dxa" w:w="75"/>
              <w:right w:type="dxa" w:w="75"/>
            </w:tcMar>
          </w:tcPr>
          <w:p w14:paraId="39000000">
            <w:pPr>
              <w:widowControl w:val="0"/>
              <w:ind/>
              <w:jc w:val="center"/>
              <w:rPr>
                <w:sz w:val="24"/>
              </w:rPr>
            </w:pPr>
            <w:r>
              <w:rPr>
                <w:sz w:val="24"/>
              </w:rPr>
              <w:t>4</w:t>
            </w:r>
          </w:p>
        </w:tc>
        <w:tc>
          <w:tcPr>
            <w:tcW w:type="dxa" w:w="1243"/>
            <w:tcBorders>
              <w:left w:color="000000" w:sz="4" w:val="single"/>
              <w:bottom w:color="000000" w:sz="4" w:val="single"/>
              <w:right w:color="000000" w:sz="4" w:val="single"/>
            </w:tcBorders>
            <w:tcMar>
              <w:left w:type="dxa" w:w="75"/>
              <w:right w:type="dxa" w:w="75"/>
            </w:tcMar>
          </w:tcPr>
          <w:p w14:paraId="3A000000">
            <w:pPr>
              <w:widowControl w:val="0"/>
              <w:ind/>
              <w:jc w:val="center"/>
              <w:rPr>
                <w:sz w:val="24"/>
              </w:rPr>
            </w:pPr>
            <w:r>
              <w:rPr>
                <w:sz w:val="24"/>
              </w:rPr>
              <w:t>5</w:t>
            </w:r>
          </w:p>
        </w:tc>
        <w:tc>
          <w:tcPr>
            <w:tcW w:type="dxa" w:w="1244"/>
            <w:tcBorders>
              <w:left w:color="000000" w:sz="4" w:val="single"/>
              <w:bottom w:color="000000" w:sz="4" w:val="single"/>
              <w:right w:color="000000" w:sz="4" w:val="single"/>
            </w:tcBorders>
            <w:tcMar>
              <w:left w:type="dxa" w:w="75"/>
              <w:right w:type="dxa" w:w="75"/>
            </w:tcMar>
          </w:tcPr>
          <w:p w14:paraId="3B000000">
            <w:pPr>
              <w:widowControl w:val="0"/>
              <w:ind/>
              <w:jc w:val="center"/>
              <w:rPr>
                <w:sz w:val="24"/>
              </w:rPr>
            </w:pPr>
            <w:r>
              <w:rPr>
                <w:sz w:val="24"/>
              </w:rPr>
              <w:t>6</w:t>
            </w:r>
          </w:p>
        </w:tc>
        <w:tc>
          <w:tcPr>
            <w:tcW w:type="dxa" w:w="914"/>
            <w:tcBorders>
              <w:left w:color="000000" w:sz="4" w:val="single"/>
              <w:bottom w:color="000000" w:sz="4" w:val="single"/>
              <w:right w:color="000000" w:sz="4" w:val="single"/>
            </w:tcBorders>
            <w:tcMar>
              <w:left w:type="dxa" w:w="75"/>
              <w:right w:type="dxa" w:w="75"/>
            </w:tcMar>
          </w:tcPr>
          <w:p w14:paraId="3C000000">
            <w:pPr>
              <w:widowControl w:val="0"/>
              <w:ind/>
              <w:jc w:val="center"/>
              <w:rPr>
                <w:sz w:val="24"/>
              </w:rPr>
            </w:pPr>
            <w:r>
              <w:rPr>
                <w:sz w:val="24"/>
              </w:rPr>
              <w:t>7</w:t>
            </w:r>
          </w:p>
        </w:tc>
        <w:tc>
          <w:tcPr>
            <w:tcW w:type="dxa" w:w="990"/>
            <w:tcBorders>
              <w:left w:color="000000" w:sz="4" w:val="single"/>
              <w:bottom w:color="000000" w:sz="4" w:val="single"/>
              <w:right w:color="000000" w:sz="4" w:val="single"/>
            </w:tcBorders>
            <w:tcMar>
              <w:left w:type="dxa" w:w="75"/>
              <w:right w:type="dxa" w:w="75"/>
            </w:tcMar>
          </w:tcPr>
          <w:p w14:paraId="3D000000">
            <w:pPr>
              <w:widowControl w:val="0"/>
              <w:ind/>
              <w:jc w:val="center"/>
              <w:rPr>
                <w:sz w:val="24"/>
              </w:rPr>
            </w:pPr>
            <w:r>
              <w:rPr>
                <w:sz w:val="24"/>
              </w:rPr>
              <w:t>8</w:t>
            </w:r>
          </w:p>
        </w:tc>
        <w:tc>
          <w:tcPr>
            <w:tcW w:type="dxa" w:w="630"/>
            <w:tcBorders>
              <w:left w:color="000000" w:sz="4" w:val="single"/>
              <w:bottom w:color="000000" w:sz="4" w:val="single"/>
              <w:right w:color="000000" w:sz="4" w:val="single"/>
            </w:tcBorders>
            <w:tcMar>
              <w:left w:type="dxa" w:w="75"/>
              <w:right w:type="dxa" w:w="75"/>
            </w:tcMar>
          </w:tcPr>
          <w:p w14:paraId="3E000000">
            <w:pPr>
              <w:widowControl w:val="0"/>
              <w:ind/>
              <w:jc w:val="center"/>
              <w:rPr>
                <w:sz w:val="24"/>
              </w:rPr>
            </w:pPr>
            <w:r>
              <w:rPr>
                <w:sz w:val="24"/>
              </w:rPr>
              <w:t>9</w:t>
            </w:r>
          </w:p>
        </w:tc>
        <w:tc>
          <w:tcPr>
            <w:tcW w:type="dxa" w:w="930"/>
            <w:tcBorders>
              <w:left w:color="000000" w:sz="4" w:val="single"/>
              <w:bottom w:color="000000" w:sz="4" w:val="single"/>
              <w:right w:color="000000" w:sz="4" w:val="single"/>
            </w:tcBorders>
            <w:tcMar>
              <w:left w:type="dxa" w:w="75"/>
              <w:right w:type="dxa" w:w="75"/>
            </w:tcMar>
          </w:tcPr>
          <w:p w14:paraId="3F000000">
            <w:pPr>
              <w:widowControl w:val="0"/>
              <w:ind/>
              <w:jc w:val="center"/>
              <w:rPr>
                <w:sz w:val="24"/>
              </w:rPr>
            </w:pPr>
            <w:r>
              <w:rPr>
                <w:sz w:val="24"/>
              </w:rPr>
              <w:t>10</w:t>
            </w:r>
          </w:p>
        </w:tc>
      </w:tr>
      <w:tr>
        <w:trPr>
          <w:trHeight w:hRule="atLeast" w:val="202"/>
        </w:trPr>
        <w:tc>
          <w:tcPr>
            <w:tcW w:type="dxa" w:w="15066"/>
            <w:gridSpan w:val="10"/>
            <w:tcBorders>
              <w:left w:color="000000" w:sz="4" w:val="single"/>
              <w:bottom w:color="000000" w:sz="4" w:val="single"/>
              <w:right w:color="000000" w:sz="4" w:val="single"/>
            </w:tcBorders>
            <w:tcMar>
              <w:left w:type="dxa" w:w="75"/>
              <w:right w:type="dxa" w:w="75"/>
            </w:tcMar>
          </w:tcPr>
          <w:p w14:paraId="40000000">
            <w:pPr>
              <w:ind/>
              <w:jc w:val="center"/>
            </w:pPr>
            <w:r>
              <w:rPr>
                <w:sz w:val="24"/>
              </w:rPr>
              <w:t xml:space="preserve">Муниципальная программа </w:t>
            </w:r>
            <w:r>
              <w:rPr>
                <w:sz w:val="24"/>
              </w:rPr>
              <w:t xml:space="preserve"> </w:t>
            </w:r>
            <w:r>
              <w:rPr>
                <w:sz w:val="24"/>
              </w:rPr>
              <w:t>«Участие в предупреждении и ликвидации последствий чрезвычайных ситуаций в границах поселения, пожарной безопасности»</w:t>
            </w:r>
          </w:p>
        </w:tc>
      </w:tr>
      <w:tr>
        <w:trPr>
          <w:trHeight w:hRule="atLeast" w:val="202"/>
        </w:trPr>
        <w:tc>
          <w:tcPr>
            <w:tcW w:type="dxa" w:w="554"/>
            <w:tcBorders>
              <w:left w:color="000000" w:sz="4" w:val="single"/>
              <w:bottom w:color="000000" w:sz="4" w:val="single"/>
              <w:right w:color="000000" w:sz="4" w:val="single"/>
            </w:tcBorders>
            <w:tcMar>
              <w:left w:type="dxa" w:w="75"/>
              <w:right w:type="dxa" w:w="75"/>
            </w:tcMar>
          </w:tcPr>
          <w:p w14:paraId="41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2000000">
            <w:pPr>
              <w:widowControl w:val="0"/>
              <w:ind/>
              <w:rPr>
                <w:sz w:val="24"/>
              </w:rPr>
            </w:pPr>
            <w:r>
              <w:rPr>
                <w:sz w:val="24"/>
              </w:rPr>
              <w:t xml:space="preserve">Подпрограмма 1 </w:t>
            </w:r>
            <w:r>
              <w:rPr>
                <w:sz w:val="24"/>
              </w:rPr>
              <w:t>«Пожарная бе</w:t>
            </w:r>
            <w:r>
              <w:rPr>
                <w:sz w:val="24"/>
              </w:rPr>
              <w:t>з</w:t>
            </w:r>
            <w:r>
              <w:rPr>
                <w:sz w:val="24"/>
              </w:rPr>
              <w:t>опасность»</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3000000">
            <w:pPr>
              <w:widowControl w:val="0"/>
              <w:ind/>
              <w:jc w:val="center"/>
              <w:rPr>
                <w:sz w:val="24"/>
              </w:rPr>
            </w:pPr>
            <w:r>
              <w:rPr>
                <w:sz w:val="24"/>
              </w:rPr>
              <w:t>X</w:t>
            </w:r>
          </w:p>
        </w:tc>
        <w:tc>
          <w:tcPr>
            <w:tcW w:type="dxa" w:w="3315"/>
            <w:tcBorders>
              <w:left w:color="000000" w:sz="4" w:val="single"/>
              <w:bottom w:color="000000" w:sz="4" w:val="single"/>
              <w:right w:color="000000" w:sz="4" w:val="single"/>
            </w:tcBorders>
            <w:tcMar>
              <w:left w:type="dxa" w:w="75"/>
              <w:right w:type="dxa" w:w="75"/>
            </w:tcMar>
          </w:tcPr>
          <w:p w14:paraId="44000000">
            <w:pPr>
              <w:widowControl w:val="0"/>
              <w:ind/>
              <w:jc w:val="center"/>
              <w:rPr>
                <w:sz w:val="24"/>
              </w:rPr>
            </w:pPr>
            <w:r>
              <w:rPr>
                <w:sz w:val="24"/>
              </w:rPr>
              <w:t>X</w:t>
            </w:r>
          </w:p>
        </w:tc>
        <w:tc>
          <w:tcPr>
            <w:tcW w:type="dxa" w:w="1243"/>
            <w:tcBorders>
              <w:left w:color="000000" w:sz="4" w:val="single"/>
              <w:bottom w:color="000000" w:sz="4" w:val="single"/>
              <w:right w:color="000000" w:sz="4" w:val="single"/>
            </w:tcBorders>
            <w:tcMar>
              <w:left w:type="dxa" w:w="75"/>
              <w:right w:type="dxa" w:w="75"/>
            </w:tcMar>
          </w:tcPr>
          <w:p w14:paraId="45000000">
            <w:pPr>
              <w:widowControl w:val="0"/>
              <w:ind/>
              <w:jc w:val="center"/>
              <w:rPr>
                <w:sz w:val="24"/>
              </w:rPr>
            </w:pPr>
            <w:r>
              <w:rPr>
                <w:sz w:val="24"/>
              </w:rPr>
              <w:t>X</w:t>
            </w:r>
          </w:p>
        </w:tc>
        <w:tc>
          <w:tcPr>
            <w:tcW w:type="dxa" w:w="1244"/>
            <w:tcBorders>
              <w:left w:color="000000" w:sz="4" w:val="single"/>
              <w:bottom w:color="000000" w:sz="4" w:val="single"/>
              <w:right w:color="000000" w:sz="4" w:val="single"/>
            </w:tcBorders>
            <w:tcMar>
              <w:left w:type="dxa" w:w="75"/>
              <w:right w:type="dxa" w:w="75"/>
            </w:tcMar>
          </w:tcPr>
          <w:p w14:paraId="46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47000000">
            <w:pPr>
              <w:widowControl w:val="0"/>
              <w:ind/>
              <w:jc w:val="center"/>
              <w:rPr>
                <w:sz w:val="24"/>
              </w:rPr>
            </w:pPr>
            <w:r>
              <w:rPr>
                <w:sz w:val="24"/>
              </w:rPr>
              <w:t>150,0</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48000000">
            <w:pPr>
              <w:widowControl w:val="0"/>
              <w:ind/>
              <w:jc w:val="center"/>
              <w:rPr>
                <w:sz w:val="24"/>
              </w:rPr>
            </w:pPr>
            <w:r>
              <w:rPr>
                <w:sz w:val="24"/>
              </w:rPr>
              <w:t>150,0</w:t>
            </w:r>
          </w:p>
          <w:p w14:paraId="49000000">
            <w:pPr>
              <w:widowControl w:val="0"/>
              <w:ind/>
              <w:jc w:val="center"/>
              <w:rPr>
                <w:sz w:val="24"/>
              </w:rPr>
            </w:pP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A000000">
            <w:pPr>
              <w:widowControl w:val="0"/>
              <w:ind/>
              <w:jc w:val="center"/>
              <w:rPr>
                <w:sz w:val="24"/>
              </w:rPr>
            </w:pPr>
            <w:r>
              <w:rPr>
                <w:sz w:val="24"/>
              </w:rPr>
              <w:t>0,0</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B000000">
            <w:pPr>
              <w:widowControl w:val="0"/>
              <w:ind/>
              <w:jc w:val="center"/>
              <w:rPr>
                <w:sz w:val="24"/>
              </w:rPr>
            </w:pPr>
            <w:r>
              <w:rPr>
                <w:sz w:val="24"/>
              </w:rPr>
              <w:t>150,0</w:t>
            </w:r>
          </w:p>
          <w:p w14:paraId="4C000000">
            <w:pPr>
              <w:widowControl w:val="0"/>
              <w:ind/>
              <w:jc w:val="center"/>
              <w:rPr>
                <w:sz w:val="24"/>
              </w:rPr>
            </w:pPr>
          </w:p>
        </w:tc>
      </w:tr>
      <w:tr>
        <w:trPr>
          <w:trHeight w:hRule="atLeast" w:val="263"/>
        </w:trPr>
        <w:tc>
          <w:tcPr>
            <w:tcW w:type="dxa" w:w="554"/>
            <w:tcBorders>
              <w:left w:color="000000" w:sz="4" w:val="single"/>
              <w:bottom w:color="000000" w:sz="4" w:val="single"/>
              <w:right w:color="000000" w:sz="4" w:val="single"/>
            </w:tcBorders>
            <w:tcMar>
              <w:left w:type="dxa" w:w="75"/>
              <w:right w:type="dxa" w:w="75"/>
            </w:tcMar>
          </w:tcPr>
          <w:p w14:paraId="4D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E000000">
            <w:pPr>
              <w:widowControl w:val="0"/>
              <w:ind/>
              <w:rPr>
                <w:sz w:val="24"/>
              </w:rPr>
            </w:pPr>
            <w:r>
              <w:rPr>
                <w:sz w:val="24"/>
              </w:rPr>
              <w:t xml:space="preserve">Основное мероприятие 1.1  </w:t>
            </w:r>
            <w:r>
              <w:rPr>
                <w:sz w:val="24"/>
              </w:rPr>
              <w:t>Мероприятия по обеспечению пожарной безопасности</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F000000">
            <w:pPr>
              <w:widowControl w:val="0"/>
              <w:ind/>
              <w:jc w:val="center"/>
              <w:rPr>
                <w:sz w:val="24"/>
              </w:rPr>
            </w:pPr>
            <w:r>
              <w:rPr>
                <w:sz w:val="24"/>
              </w:rPr>
              <w:t>X</w:t>
            </w:r>
          </w:p>
        </w:tc>
        <w:tc>
          <w:tcPr>
            <w:tcW w:type="dxa" w:w="3315"/>
            <w:tcBorders>
              <w:top w:color="000000" w:sz="4" w:val="single"/>
              <w:left w:color="000000" w:sz="4" w:val="single"/>
              <w:bottom w:color="000000" w:sz="6" w:val="single"/>
              <w:right w:color="000000" w:sz="4" w:val="single"/>
            </w:tcBorders>
            <w:tcMar>
              <w:top w:type="dxa" w:w="0"/>
              <w:left w:type="dxa" w:w="75"/>
              <w:bottom w:type="dxa" w:w="0"/>
              <w:right w:type="dxa" w:w="75"/>
            </w:tcMar>
          </w:tcPr>
          <w:p w14:paraId="50000000">
            <w:pPr>
              <w:widowControl w:val="0"/>
              <w:ind/>
              <w:jc w:val="center"/>
              <w:rPr>
                <w:sz w:val="24"/>
              </w:rPr>
            </w:pPr>
            <w:r>
              <w:rPr>
                <w:sz w:val="24"/>
              </w:rPr>
              <w:t>Разработаны и утверждены постановление от 29.03.2023г. №40 «Об утверждении Положения о межведомственной группе по контролю за выжиганием сухой растительности на территории Кагальницкого сельского поселения», постановление от 13.06.2023г. «Об утверждении порядка утилизации сухой растительности на территории Кагальницкого с.п.», на сайте Администрации Кагальницкого с.п. регулярно размещаются баннеры о соблюдении пожарной безопасности и введении противопожарного режима, в домах, многодетным семьям и семьям, находящимся в группе риска установлены 9 пожарных извещателей.</w:t>
            </w:r>
          </w:p>
          <w:p w14:paraId="51000000">
            <w:pPr>
              <w:widowControl w:val="0"/>
              <w:ind/>
              <w:jc w:val="center"/>
              <w:rPr>
                <w:sz w:val="24"/>
              </w:rPr>
            </w:pPr>
            <w:r>
              <w:rPr>
                <w:sz w:val="24"/>
              </w:rPr>
              <w:t>Приобретение дополнительных пожарных извещателей планируется на IV квартал 2023 года</w:t>
            </w:r>
          </w:p>
        </w:tc>
        <w:tc>
          <w:tcPr>
            <w:tcW w:type="dxa" w:w="1243"/>
            <w:tcBorders>
              <w:left w:color="000000" w:sz="4" w:val="single"/>
              <w:bottom w:color="000000" w:sz="4" w:val="single"/>
              <w:right w:color="000000" w:sz="4" w:val="single"/>
            </w:tcBorders>
            <w:tcMar>
              <w:left w:type="dxa" w:w="75"/>
              <w:right w:type="dxa" w:w="75"/>
            </w:tcMar>
          </w:tcPr>
          <w:p w14:paraId="52000000">
            <w:pPr>
              <w:widowControl w:val="0"/>
              <w:ind/>
              <w:jc w:val="center"/>
              <w:rPr>
                <w:sz w:val="24"/>
              </w:rPr>
            </w:pPr>
            <w:r>
              <w:rPr>
                <w:sz w:val="24"/>
              </w:rPr>
              <w:t>01.01.20</w:t>
            </w:r>
            <w:r>
              <w:rPr>
                <w:sz w:val="24"/>
              </w:rPr>
              <w:t>23</w:t>
            </w:r>
          </w:p>
        </w:tc>
        <w:tc>
          <w:tcPr>
            <w:tcW w:type="dxa" w:w="1244"/>
            <w:tcBorders>
              <w:left w:color="000000" w:sz="4" w:val="single"/>
              <w:bottom w:color="000000" w:sz="4" w:val="single"/>
              <w:right w:color="000000" w:sz="4" w:val="single"/>
            </w:tcBorders>
            <w:tcMar>
              <w:left w:type="dxa" w:w="75"/>
              <w:right w:type="dxa" w:w="75"/>
            </w:tcMar>
          </w:tcPr>
          <w:p w14:paraId="53000000">
            <w:pPr>
              <w:widowControl w:val="0"/>
              <w:ind/>
              <w:jc w:val="center"/>
              <w:rPr>
                <w:sz w:val="24"/>
              </w:rPr>
            </w:pPr>
            <w:r>
              <w:rPr>
                <w:sz w:val="24"/>
              </w:rPr>
              <w:t>31.12.2023</w:t>
            </w:r>
          </w:p>
        </w:tc>
        <w:tc>
          <w:tcPr>
            <w:tcW w:type="dxa" w:w="914"/>
            <w:tcBorders>
              <w:left w:color="000000" w:sz="4" w:val="single"/>
              <w:bottom w:color="000000" w:sz="4" w:val="single"/>
              <w:right w:color="000000" w:sz="4" w:val="single"/>
            </w:tcBorders>
            <w:tcMar>
              <w:left w:type="dxa" w:w="75"/>
              <w:right w:type="dxa" w:w="75"/>
            </w:tcMar>
          </w:tcPr>
          <w:p w14:paraId="54000000">
            <w:pPr>
              <w:widowControl w:val="0"/>
              <w:ind/>
              <w:jc w:val="center"/>
              <w:rPr>
                <w:sz w:val="24"/>
              </w:rPr>
            </w:pPr>
            <w:r>
              <w:rPr>
                <w:sz w:val="24"/>
              </w:rPr>
              <w:t>150,0</w:t>
            </w:r>
          </w:p>
        </w:tc>
        <w:tc>
          <w:tcPr>
            <w:tcW w:type="dxa" w:w="990"/>
            <w:tcBorders>
              <w:left w:color="000000" w:sz="4" w:val="single"/>
              <w:bottom w:color="000000" w:sz="4" w:val="single"/>
              <w:right w:color="000000" w:sz="4" w:val="single"/>
            </w:tcBorders>
            <w:tcMar>
              <w:left w:type="dxa" w:w="75"/>
              <w:right w:type="dxa" w:w="75"/>
            </w:tcMar>
          </w:tcPr>
          <w:p w14:paraId="55000000">
            <w:pPr>
              <w:widowControl w:val="0"/>
              <w:ind/>
              <w:jc w:val="center"/>
              <w:rPr>
                <w:sz w:val="24"/>
              </w:rPr>
            </w:pPr>
            <w:r>
              <w:rPr>
                <w:sz w:val="24"/>
              </w:rPr>
              <w:t>150,0</w:t>
            </w:r>
          </w:p>
          <w:p w14:paraId="56000000">
            <w:pPr>
              <w:widowControl w:val="0"/>
              <w:ind/>
              <w:jc w:val="center"/>
              <w:rPr>
                <w:sz w:val="24"/>
              </w:rPr>
            </w:pPr>
          </w:p>
        </w:tc>
        <w:tc>
          <w:tcPr>
            <w:tcW w:type="dxa" w:w="630"/>
            <w:tcBorders>
              <w:left w:color="000000" w:sz="4" w:val="single"/>
              <w:bottom w:color="000000" w:sz="4" w:val="single"/>
              <w:right w:color="000000" w:sz="4" w:val="single"/>
            </w:tcBorders>
            <w:tcMar>
              <w:left w:type="dxa" w:w="75"/>
              <w:right w:type="dxa" w:w="75"/>
            </w:tcMar>
          </w:tcPr>
          <w:p w14:paraId="57000000">
            <w:pPr>
              <w:widowControl w:val="0"/>
              <w:ind/>
              <w:jc w:val="center"/>
              <w:rPr>
                <w:sz w:val="24"/>
              </w:rPr>
            </w:pPr>
            <w:r>
              <w:rPr>
                <w:sz w:val="24"/>
              </w:rPr>
              <w:t>0,0</w:t>
            </w:r>
          </w:p>
        </w:tc>
        <w:tc>
          <w:tcPr>
            <w:tcW w:type="dxa" w:w="930"/>
            <w:tcBorders>
              <w:left w:color="000000" w:sz="4" w:val="single"/>
              <w:bottom w:color="000000" w:sz="4" w:val="single"/>
              <w:right w:color="000000" w:sz="4" w:val="single"/>
            </w:tcBorders>
            <w:tcMar>
              <w:left w:type="dxa" w:w="75"/>
              <w:right w:type="dxa" w:w="75"/>
            </w:tcMar>
          </w:tcPr>
          <w:p w14:paraId="58000000">
            <w:pPr>
              <w:widowControl w:val="0"/>
              <w:ind/>
              <w:jc w:val="center"/>
              <w:rPr>
                <w:sz w:val="24"/>
              </w:rPr>
            </w:pPr>
            <w:r>
              <w:rPr>
                <w:sz w:val="24"/>
              </w:rPr>
              <w:t>150,0</w:t>
            </w:r>
          </w:p>
          <w:p w14:paraId="59000000">
            <w:pPr>
              <w:widowControl w:val="0"/>
              <w:ind/>
              <w:jc w:val="center"/>
              <w:rPr>
                <w:sz w:val="24"/>
              </w:rPr>
            </w:pPr>
          </w:p>
        </w:tc>
      </w:tr>
      <w:tr>
        <w:tc>
          <w:tcPr>
            <w:tcW w:type="dxa" w:w="554"/>
            <w:tcBorders>
              <w:top w:color="000000" w:sz="6" w:val="single"/>
              <w:left w:color="000000" w:sz="6" w:val="single"/>
              <w:bottom w:color="000000" w:sz="6" w:val="single"/>
              <w:right w:color="000000" w:sz="6" w:val="single"/>
            </w:tcBorders>
            <w:tcMar>
              <w:left w:type="dxa" w:w="75"/>
              <w:right w:type="dxa" w:w="75"/>
            </w:tcMar>
          </w:tcPr>
          <w:p w14:paraId="5A000000">
            <w:pPr>
              <w:widowControl w:val="0"/>
              <w:ind/>
              <w:rPr>
                <w:sz w:val="24"/>
              </w:rPr>
            </w:pPr>
          </w:p>
        </w:tc>
        <w:tc>
          <w:tcPr>
            <w:tcW w:type="dxa" w:w="3317"/>
            <w:tcBorders>
              <w:top w:color="000000" w:sz="6" w:val="single"/>
              <w:left w:color="000000" w:sz="6" w:val="single"/>
              <w:bottom w:color="000000" w:sz="6" w:val="single"/>
              <w:right w:color="000000" w:sz="6" w:val="single"/>
            </w:tcBorders>
            <w:tcMar>
              <w:left w:type="dxa" w:w="75"/>
              <w:right w:type="dxa" w:w="75"/>
            </w:tcMar>
          </w:tcPr>
          <w:p w14:paraId="5B000000">
            <w:pPr>
              <w:widowControl w:val="0"/>
              <w:ind/>
              <w:rPr>
                <w:sz w:val="24"/>
              </w:rPr>
            </w:pPr>
            <w:r>
              <w:rPr>
                <w:sz w:val="24"/>
              </w:rPr>
              <w:t>Итого по муниципальной</w:t>
            </w:r>
            <w:r>
              <w:rPr>
                <w:sz w:val="24"/>
              </w:rPr>
              <w:br/>
            </w:r>
            <w:r>
              <w:rPr>
                <w:sz w:val="24"/>
              </w:rPr>
              <w:t>программе</w:t>
            </w:r>
          </w:p>
        </w:tc>
        <w:tc>
          <w:tcPr>
            <w:tcW w:type="dxa" w:w="1929"/>
            <w:tcBorders>
              <w:top w:color="000000" w:sz="6" w:val="single"/>
              <w:left w:color="000000" w:sz="6" w:val="single"/>
              <w:bottom w:color="000000" w:sz="6" w:val="single"/>
              <w:right w:color="000000" w:sz="6" w:val="single"/>
            </w:tcBorders>
            <w:tcMar>
              <w:left w:type="dxa" w:w="75"/>
              <w:right w:type="dxa" w:w="75"/>
            </w:tcMar>
          </w:tcPr>
          <w:p w14:paraId="5C000000">
            <w:pPr>
              <w:widowControl w:val="0"/>
              <w:ind/>
              <w:jc w:val="center"/>
              <w:rPr>
                <w:sz w:val="24"/>
              </w:rPr>
            </w:pPr>
            <w:r>
              <w:rPr>
                <w:sz w:val="24"/>
              </w:rPr>
              <w:t>Фридриков В.А.</w:t>
            </w:r>
          </w:p>
        </w:tc>
        <w:tc>
          <w:tcPr>
            <w:tcW w:type="dxa" w:w="3315"/>
            <w:tcBorders>
              <w:top w:color="000000" w:sz="6" w:val="single"/>
              <w:left w:color="000000" w:sz="6" w:val="single"/>
              <w:bottom w:color="000000" w:sz="6" w:val="single"/>
              <w:right w:color="000000" w:sz="6" w:val="single"/>
            </w:tcBorders>
            <w:tcMar>
              <w:left w:type="dxa" w:w="75"/>
              <w:right w:type="dxa" w:w="75"/>
            </w:tcMar>
          </w:tcPr>
          <w:p w14:paraId="5D000000">
            <w:pPr>
              <w:widowControl w:val="0"/>
              <w:ind/>
              <w:jc w:val="center"/>
              <w:rPr>
                <w:sz w:val="24"/>
              </w:rPr>
            </w:pPr>
            <w:r>
              <w:rPr>
                <w:sz w:val="24"/>
              </w:rPr>
              <w:t>X</w:t>
            </w:r>
          </w:p>
        </w:tc>
        <w:tc>
          <w:tcPr>
            <w:tcW w:type="dxa" w:w="1243"/>
            <w:tcBorders>
              <w:top w:color="000000" w:sz="6" w:val="single"/>
              <w:left w:color="000000" w:sz="6" w:val="single"/>
              <w:bottom w:color="000000" w:sz="6" w:val="single"/>
              <w:right w:color="000000" w:sz="6" w:val="single"/>
            </w:tcBorders>
            <w:tcMar>
              <w:left w:type="dxa" w:w="75"/>
              <w:right w:type="dxa" w:w="75"/>
            </w:tcMar>
          </w:tcPr>
          <w:p w14:paraId="5E000000">
            <w:pPr>
              <w:widowControl w:val="0"/>
              <w:ind/>
              <w:jc w:val="center"/>
              <w:rPr>
                <w:sz w:val="24"/>
              </w:rPr>
            </w:pPr>
            <w:r>
              <w:rPr>
                <w:sz w:val="24"/>
              </w:rPr>
              <w:t>X</w:t>
            </w:r>
          </w:p>
        </w:tc>
        <w:tc>
          <w:tcPr>
            <w:tcW w:type="dxa" w:w="1244"/>
            <w:tcBorders>
              <w:top w:color="000000" w:sz="6" w:val="single"/>
              <w:left w:color="000000" w:sz="6" w:val="single"/>
              <w:bottom w:color="000000" w:sz="6" w:val="single"/>
              <w:right w:color="000000" w:sz="6" w:val="single"/>
            </w:tcBorders>
            <w:tcMar>
              <w:left w:type="dxa" w:w="75"/>
              <w:right w:type="dxa" w:w="75"/>
            </w:tcMar>
          </w:tcPr>
          <w:p w14:paraId="5F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60000000">
            <w:pPr>
              <w:widowControl w:val="0"/>
              <w:ind/>
              <w:jc w:val="center"/>
              <w:rPr>
                <w:sz w:val="24"/>
              </w:rPr>
            </w:pPr>
            <w:r>
              <w:rPr>
                <w:sz w:val="24"/>
              </w:rPr>
              <w:t>150,0</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61000000">
            <w:pPr>
              <w:widowControl w:val="0"/>
              <w:ind/>
              <w:jc w:val="center"/>
              <w:rPr>
                <w:sz w:val="24"/>
              </w:rPr>
            </w:pPr>
            <w:r>
              <w:rPr>
                <w:sz w:val="24"/>
              </w:rPr>
              <w:t>150,0</w:t>
            </w:r>
          </w:p>
          <w:p w14:paraId="62000000">
            <w:pPr>
              <w:widowControl w:val="0"/>
              <w:ind/>
              <w:jc w:val="center"/>
              <w:rPr>
                <w:sz w:val="24"/>
              </w:rPr>
            </w:pP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3000000">
            <w:pPr>
              <w:widowControl w:val="0"/>
              <w:ind/>
              <w:jc w:val="center"/>
              <w:rPr>
                <w:sz w:val="24"/>
              </w:rPr>
            </w:pPr>
            <w:r>
              <w:rPr>
                <w:sz w:val="24"/>
              </w:rPr>
              <w:t>0,0</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4000000">
            <w:pPr>
              <w:widowControl w:val="0"/>
              <w:ind/>
              <w:jc w:val="center"/>
              <w:rPr>
                <w:sz w:val="24"/>
              </w:rPr>
            </w:pPr>
            <w:r>
              <w:rPr>
                <w:sz w:val="24"/>
              </w:rPr>
              <w:t>150,0</w:t>
            </w:r>
          </w:p>
          <w:p w14:paraId="65000000">
            <w:pPr>
              <w:widowControl w:val="0"/>
              <w:ind/>
              <w:jc w:val="center"/>
              <w:rPr>
                <w:sz w:val="24"/>
              </w:rPr>
            </w:pPr>
          </w:p>
        </w:tc>
      </w:tr>
    </w:tbl>
    <w:p w14:paraId="66000000">
      <w:pPr>
        <w:widowControl w:val="0"/>
        <w:ind w:firstLine="0" w:left="-284" w:right="-284"/>
        <w:jc w:val="both"/>
        <w:rPr>
          <w:sz w:val="18"/>
        </w:rPr>
      </w:pPr>
      <w:r>
        <w:rPr>
          <w:sz w:val="18"/>
        </w:rPr>
        <w:t xml:space="preserve">&lt;1&gt;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поселения, определенного ответственным исполнителем, соисполнителем. </w:t>
      </w:r>
    </w:p>
    <w:p w14:paraId="67000000">
      <w:pPr>
        <w:widowControl w:val="0"/>
        <w:ind w:firstLine="0" w:left="-284" w:right="-284"/>
        <w:jc w:val="both"/>
        <w:rPr>
          <w:sz w:val="18"/>
        </w:rPr>
      </w:pPr>
      <w:r>
        <w:rPr>
          <w:sz w:val="18"/>
        </w:rPr>
        <w:t>&lt;2&gt; Графа заполняется по завершенным основным мероприятиям, мероприятиям ведомственных целевых программ.</w:t>
      </w:r>
    </w:p>
    <w:p w14:paraId="68000000">
      <w:pPr>
        <w:widowControl w:val="0"/>
        <w:ind w:firstLine="0" w:left="-284" w:right="-284"/>
        <w:jc w:val="both"/>
        <w:rPr>
          <w:sz w:val="18"/>
        </w:rPr>
      </w:pPr>
      <w:r>
        <w:rPr>
          <w:sz w:val="18"/>
        </w:rPr>
        <w:t>&lt;3&gt; В случае наличия нескольких контрольных событий одного основного мероприятия, мероприятия ведомственной целевой программы.</w:t>
      </w:r>
    </w:p>
    <w:p w14:paraId="69000000">
      <w:pPr>
        <w:widowControl w:val="0"/>
        <w:ind w:firstLine="0" w:left="-284" w:right="-284"/>
        <w:jc w:val="both"/>
        <w:rPr>
          <w:sz w:val="18"/>
        </w:rPr>
      </w:pPr>
      <w:r>
        <w:rPr>
          <w:sz w:val="18"/>
        </w:rPr>
        <w:t>&lt;4&gt;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
    <w:sectPr>
      <w:footerReference r:id="rId2" w:type="default"/>
      <w:pgSz w:h="11907" w:orient="landscape" w:w="16840"/>
      <w:pgMar w:bottom="709" w:footer="720" w:gutter="0" w:header="720" w:left="1134"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Основной текст1"/>
    <w:link w:val="Style_9_ch"/>
    <w:rPr>
      <w:rFonts w:ascii="Courier New" w:hAnsi="Courier New"/>
      <w:color w:val="000000"/>
      <w:spacing w:val="0"/>
      <w:sz w:val="18"/>
      <w:highlight w:val="white"/>
    </w:rPr>
  </w:style>
  <w:style w:styleId="Style_9_ch" w:type="character">
    <w:name w:val="Основной текст1"/>
    <w:link w:val="Style_9"/>
    <w:rPr>
      <w:rFonts w:ascii="Courier New" w:hAnsi="Courier New"/>
      <w:color w:val="000000"/>
      <w:spacing w:val="0"/>
      <w:sz w:val="18"/>
      <w:highlight w:val="white"/>
    </w:rPr>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Body text"/>
    <w:link w:val="Style_11_ch"/>
    <w:rPr>
      <w:rFonts w:ascii="Book Antiqua" w:hAnsi="Book Antiqua"/>
      <w:color w:val="000000"/>
      <w:spacing w:val="0"/>
      <w:sz w:val="29"/>
      <w:u w:val="none"/>
    </w:rPr>
  </w:style>
  <w:style w:styleId="Style_11_ch" w:type="character">
    <w:name w:val="Body text"/>
    <w:link w:val="Style_11"/>
    <w:rPr>
      <w:rFonts w:ascii="Book Antiqua" w:hAnsi="Book Antiqua"/>
      <w:color w:val="000000"/>
      <w:spacing w:val="0"/>
      <w:sz w:val="29"/>
      <w:u w:val="none"/>
    </w:rPr>
  </w:style>
  <w:style w:styleId="Style_12" w:type="paragraph">
    <w:name w:val="toc 6"/>
    <w:next w:val="Style_4"/>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List Paragraph"/>
    <w:basedOn w:val="Style_4"/>
    <w:link w:val="Style_13_ch"/>
    <w:pPr>
      <w:ind w:firstLine="0" w:left="720"/>
    </w:pPr>
  </w:style>
  <w:style w:styleId="Style_13_ch" w:type="character">
    <w:name w:val="List Paragraph"/>
    <w:basedOn w:val="Style_4_ch"/>
    <w:link w:val="Style_13"/>
  </w:style>
  <w:style w:styleId="Style_14" w:type="paragraph">
    <w:name w:val="toc 7"/>
    <w:next w:val="Style_4"/>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ConsPlusTitle"/>
    <w:link w:val="Style_15_ch"/>
    <w:pPr>
      <w:widowControl w:val="0"/>
      <w:ind/>
    </w:pPr>
    <w:rPr>
      <w:rFonts w:ascii="Arial" w:hAnsi="Arial"/>
      <w:b w:val="1"/>
    </w:rPr>
  </w:style>
  <w:style w:styleId="Style_15_ch" w:type="character">
    <w:name w:val="ConsPlusTitle"/>
    <w:link w:val="Style_15"/>
    <w:rPr>
      <w:rFonts w:ascii="Arial" w:hAnsi="Arial"/>
      <w:b w:val="1"/>
    </w:rPr>
  </w:style>
  <w:style w:styleId="Style_16" w:type="paragraph">
    <w:name w:val="ConsPlusNormal"/>
    <w:link w:val="Style_16_ch"/>
    <w:pPr>
      <w:widowControl w:val="0"/>
      <w:ind w:firstLine="720" w:left="0"/>
    </w:pPr>
    <w:rPr>
      <w:rFonts w:ascii="Arial" w:hAnsi="Arial"/>
    </w:rPr>
  </w:style>
  <w:style w:styleId="Style_16_ch" w:type="character">
    <w:name w:val="ConsPlusNormal"/>
    <w:link w:val="Style_16"/>
    <w:rPr>
      <w:rFonts w:ascii="Arial" w:hAnsi="Arial"/>
    </w:rPr>
  </w:style>
  <w:style w:styleId="Style_17" w:type="paragraph">
    <w:name w:val="heading 3"/>
    <w:basedOn w:val="Style_4"/>
    <w:next w:val="Style_4"/>
    <w:link w:val="Style_17_ch"/>
    <w:uiPriority w:val="9"/>
    <w:qFormat/>
    <w:pPr>
      <w:keepNext w:val="1"/>
      <w:spacing w:after="60" w:before="240"/>
      <w:ind/>
      <w:outlineLvl w:val="2"/>
    </w:pPr>
    <w:rPr>
      <w:rFonts w:ascii="Cambria" w:hAnsi="Cambria"/>
      <w:b w:val="1"/>
      <w:sz w:val="26"/>
    </w:rPr>
  </w:style>
  <w:style w:styleId="Style_17_ch" w:type="character">
    <w:name w:val="heading 3"/>
    <w:basedOn w:val="Style_4_ch"/>
    <w:link w:val="Style_17"/>
    <w:rPr>
      <w:rFonts w:ascii="Cambria" w:hAnsi="Cambria"/>
      <w:b w:val="1"/>
      <w:sz w:val="26"/>
    </w:rPr>
  </w:style>
  <w:style w:styleId="Style_5" w:type="paragraph">
    <w:name w:val="Font Style23"/>
    <w:link w:val="Style_5_ch"/>
    <w:rPr>
      <w:rFonts w:ascii="Times New Roman" w:hAnsi="Times New Roman"/>
      <w:sz w:val="22"/>
    </w:rPr>
  </w:style>
  <w:style w:styleId="Style_5_ch" w:type="character">
    <w:name w:val="Font Style23"/>
    <w:link w:val="Style_5"/>
    <w:rPr>
      <w:rFonts w:ascii="Times New Roman" w:hAnsi="Times New Roman"/>
      <w:sz w:val="22"/>
    </w:rPr>
  </w:style>
  <w:style w:styleId="Style_18" w:type="paragraph">
    <w:name w:val="ConsPlusNonformat"/>
    <w:link w:val="Style_18_ch"/>
    <w:rPr>
      <w:rFonts w:ascii="Courier New" w:hAnsi="Courier New"/>
    </w:rPr>
  </w:style>
  <w:style w:styleId="Style_18_ch" w:type="character">
    <w:name w:val="ConsPlusNonformat"/>
    <w:link w:val="Style_18"/>
    <w:rPr>
      <w:rFonts w:ascii="Courier New" w:hAnsi="Courier New"/>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1" w:type="paragraph">
    <w:name w:val="page number"/>
    <w:link w:val="Style_1_ch"/>
  </w:style>
  <w:style w:styleId="Style_1_ch" w:type="character">
    <w:name w:val="page number"/>
    <w:link w:val="Style_1"/>
  </w:style>
  <w:style w:styleId="Style_19" w:type="paragraph">
    <w:name w:val="Strong"/>
    <w:link w:val="Style_19_ch"/>
    <w:rPr>
      <w:b w:val="1"/>
    </w:rPr>
  </w:style>
  <w:style w:styleId="Style_19_ch" w:type="character">
    <w:name w:val="Strong"/>
    <w:link w:val="Style_19"/>
    <w:rPr>
      <w:b w:val="1"/>
    </w:rPr>
  </w:style>
  <w:style w:styleId="Style_20" w:type="paragraph">
    <w:name w:val="toc 3"/>
    <w:next w:val="Style_4"/>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Body Text"/>
    <w:basedOn w:val="Style_4"/>
    <w:link w:val="Style_21_ch"/>
  </w:style>
  <w:style w:styleId="Style_21_ch" w:type="character">
    <w:name w:val="Body Text"/>
    <w:basedOn w:val="Style_4_ch"/>
    <w:link w:val="Style_21"/>
  </w:style>
  <w:style w:styleId="Style_22" w:type="paragraph">
    <w:name w:val="Postan"/>
    <w:basedOn w:val="Style_4"/>
    <w:link w:val="Style_22_ch"/>
    <w:pPr>
      <w:ind/>
      <w:jc w:val="center"/>
    </w:pPr>
    <w:rPr>
      <w:sz w:val="28"/>
    </w:rPr>
  </w:style>
  <w:style w:styleId="Style_22_ch" w:type="character">
    <w:name w:val="Postan"/>
    <w:basedOn w:val="Style_4_ch"/>
    <w:link w:val="Style_22"/>
    <w:rPr>
      <w:sz w:val="28"/>
    </w:rPr>
  </w:style>
  <w:style w:styleId="Style_23" w:type="paragraph">
    <w:name w:val="ConsPlusCell"/>
    <w:link w:val="Style_23_ch"/>
    <w:rPr>
      <w:sz w:val="28"/>
    </w:rPr>
  </w:style>
  <w:style w:styleId="Style_23_ch" w:type="character">
    <w:name w:val="ConsPlusCell"/>
    <w:link w:val="Style_23"/>
    <w:rPr>
      <w:sz w:val="28"/>
    </w:rPr>
  </w:style>
  <w:style w:styleId="Style_24" w:type="paragraph">
    <w:name w:val="Body Text Indent 3"/>
    <w:basedOn w:val="Style_4"/>
    <w:link w:val="Style_24_ch"/>
    <w:pPr>
      <w:spacing w:after="120"/>
      <w:ind w:firstLine="0" w:left="283"/>
    </w:pPr>
    <w:rPr>
      <w:sz w:val="16"/>
    </w:rPr>
  </w:style>
  <w:style w:styleId="Style_24_ch" w:type="character">
    <w:name w:val="Body Text Indent 3"/>
    <w:basedOn w:val="Style_4_ch"/>
    <w:link w:val="Style_24"/>
    <w:rPr>
      <w:sz w:val="16"/>
    </w:rPr>
  </w:style>
  <w:style w:styleId="Style_25" w:type="paragraph">
    <w:name w:val="heading 5"/>
    <w:next w:val="Style_4"/>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No Spacing"/>
    <w:link w:val="Style_26_ch"/>
    <w:rPr>
      <w:rFonts w:ascii="Calibri" w:hAnsi="Calibri"/>
      <w:sz w:val="22"/>
    </w:rPr>
  </w:style>
  <w:style w:styleId="Style_26_ch" w:type="character">
    <w:name w:val="No Spacing"/>
    <w:link w:val="Style_26"/>
    <w:rPr>
      <w:rFonts w:ascii="Calibri" w:hAnsi="Calibri"/>
      <w:sz w:val="22"/>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27" w:type="paragraph">
    <w:name w:val="heading 1"/>
    <w:basedOn w:val="Style_4"/>
    <w:next w:val="Style_4"/>
    <w:link w:val="Style_27_ch"/>
    <w:uiPriority w:val="9"/>
    <w:qFormat/>
    <w:pPr>
      <w:keepNext w:val="1"/>
      <w:spacing w:line="220" w:lineRule="exact"/>
      <w:ind/>
      <w:jc w:val="center"/>
      <w:outlineLvl w:val="0"/>
    </w:pPr>
    <w:rPr>
      <w:rFonts w:ascii="AG Souvenir" w:hAnsi="AG Souvenir"/>
      <w:b w:val="1"/>
      <w:spacing w:val="38"/>
      <w:sz w:val="28"/>
    </w:rPr>
  </w:style>
  <w:style w:styleId="Style_27_ch" w:type="character">
    <w:name w:val="heading 1"/>
    <w:basedOn w:val="Style_4_ch"/>
    <w:link w:val="Style_27"/>
    <w:rPr>
      <w:rFonts w:ascii="AG Souvenir" w:hAnsi="AG Souvenir"/>
      <w:b w:val="1"/>
      <w:spacing w:val="38"/>
      <w:sz w:val="28"/>
    </w:rPr>
  </w:style>
  <w:style w:styleId="Style_28" w:type="paragraph">
    <w:name w:val="Hyperlink"/>
    <w:link w:val="Style_28_ch"/>
    <w:rPr>
      <w:color w:val="0000FF"/>
      <w:u w:val="single"/>
    </w:rPr>
  </w:style>
  <w:style w:styleId="Style_28_ch" w:type="character">
    <w:name w:val="Hyperlink"/>
    <w:link w:val="Style_28"/>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toc 1"/>
    <w:next w:val="Style_4"/>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Нормальный (таблица)"/>
    <w:basedOn w:val="Style_4"/>
    <w:next w:val="Style_4"/>
    <w:link w:val="Style_32_ch"/>
    <w:pPr>
      <w:widowControl w:val="0"/>
      <w:ind/>
      <w:jc w:val="both"/>
    </w:pPr>
    <w:rPr>
      <w:rFonts w:ascii="Arial" w:hAnsi="Arial"/>
      <w:sz w:val="24"/>
    </w:rPr>
  </w:style>
  <w:style w:styleId="Style_32_ch" w:type="character">
    <w:name w:val="Нормальный (таблица)"/>
    <w:basedOn w:val="Style_4_ch"/>
    <w:link w:val="Style_32"/>
    <w:rPr>
      <w:rFonts w:ascii="Arial" w:hAnsi="Arial"/>
      <w:sz w:val="24"/>
    </w:rPr>
  </w:style>
  <w:style w:styleId="Style_33" w:type="paragraph">
    <w:name w:val="toc 9"/>
    <w:next w:val="Style_4"/>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Normal (Web)"/>
    <w:basedOn w:val="Style_4"/>
    <w:link w:val="Style_34_ch"/>
    <w:pPr>
      <w:spacing w:afterAutospacing="on" w:beforeAutospacing="on"/>
      <w:ind/>
    </w:pPr>
    <w:rPr>
      <w:sz w:val="24"/>
    </w:rPr>
  </w:style>
  <w:style w:styleId="Style_34_ch" w:type="character">
    <w:name w:val="Normal (Web)"/>
    <w:basedOn w:val="Style_4_ch"/>
    <w:link w:val="Style_34"/>
    <w:rPr>
      <w:sz w:val="24"/>
    </w:rPr>
  </w:style>
  <w:style w:styleId="Style_35" w:type="paragraph">
    <w:name w:val="header"/>
    <w:basedOn w:val="Style_4"/>
    <w:link w:val="Style_35_ch"/>
    <w:pPr>
      <w:tabs>
        <w:tab w:leader="none" w:pos="4153" w:val="center"/>
        <w:tab w:leader="none" w:pos="8306" w:val="right"/>
      </w:tabs>
      <w:ind/>
    </w:pPr>
  </w:style>
  <w:style w:styleId="Style_35_ch" w:type="character">
    <w:name w:val="header"/>
    <w:basedOn w:val="Style_4_ch"/>
    <w:link w:val="Style_35"/>
  </w:style>
  <w:style w:styleId="Style_36" w:type="paragraph">
    <w:name w:val="toc 8"/>
    <w:next w:val="Style_4"/>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37" w:type="paragraph">
    <w:name w:val="Default Paragraph Font"/>
    <w:link w:val="Style_37_ch"/>
  </w:style>
  <w:style w:styleId="Style_37_ch" w:type="character">
    <w:name w:val="Default Paragraph Font"/>
    <w:link w:val="Style_37"/>
  </w:style>
  <w:style w:styleId="Style_38" w:type="paragraph">
    <w:name w:val="Balloon Text"/>
    <w:basedOn w:val="Style_4"/>
    <w:link w:val="Style_38_ch"/>
    <w:rPr>
      <w:rFonts w:ascii="Tahoma" w:hAnsi="Tahoma"/>
      <w:sz w:val="16"/>
    </w:rPr>
  </w:style>
  <w:style w:styleId="Style_38_ch" w:type="character">
    <w:name w:val="Balloon Text"/>
    <w:basedOn w:val="Style_4_ch"/>
    <w:link w:val="Style_38"/>
    <w:rPr>
      <w:rFonts w:ascii="Tahoma" w:hAnsi="Tahoma"/>
      <w:sz w:val="16"/>
    </w:rPr>
  </w:style>
  <w:style w:styleId="Style_39" w:type="paragraph">
    <w:name w:val="Отчетный"/>
    <w:basedOn w:val="Style_4"/>
    <w:link w:val="Style_39_ch"/>
    <w:pPr>
      <w:spacing w:after="120" w:line="360" w:lineRule="auto"/>
      <w:ind w:firstLine="720" w:left="0"/>
      <w:jc w:val="both"/>
    </w:pPr>
    <w:rPr>
      <w:sz w:val="26"/>
    </w:rPr>
  </w:style>
  <w:style w:styleId="Style_39_ch" w:type="character">
    <w:name w:val="Отчетный"/>
    <w:basedOn w:val="Style_4_ch"/>
    <w:link w:val="Style_39"/>
    <w:rPr>
      <w:sz w:val="26"/>
    </w:rPr>
  </w:style>
  <w:style w:styleId="Style_40" w:type="paragraph">
    <w:name w:val="toc 5"/>
    <w:next w:val="Style_4"/>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Body Text Indent"/>
    <w:basedOn w:val="Style_4"/>
    <w:link w:val="Style_41_ch"/>
    <w:pPr>
      <w:ind w:firstLine="709" w:left="0"/>
      <w:jc w:val="both"/>
    </w:pPr>
  </w:style>
  <w:style w:styleId="Style_41_ch" w:type="character">
    <w:name w:val="Body Text Indent"/>
    <w:basedOn w:val="Style_4_ch"/>
    <w:link w:val="Style_41"/>
  </w:style>
  <w:style w:styleId="Style_42" w:type="paragraph">
    <w:name w:val="Знак1"/>
    <w:basedOn w:val="Style_4"/>
    <w:link w:val="Style_42_ch"/>
    <w:pPr>
      <w:spacing w:afterAutospacing="on" w:beforeAutospacing="on"/>
      <w:ind/>
    </w:pPr>
    <w:rPr>
      <w:rFonts w:ascii="Tahoma" w:hAnsi="Tahoma"/>
    </w:rPr>
  </w:style>
  <w:style w:styleId="Style_42_ch" w:type="character">
    <w:name w:val="Знак1"/>
    <w:basedOn w:val="Style_4_ch"/>
    <w:link w:val="Style_42"/>
    <w:rPr>
      <w:rFonts w:ascii="Tahoma" w:hAnsi="Tahoma"/>
    </w:rPr>
  </w:style>
  <w:style w:styleId="Style_43" w:type="paragraph">
    <w:name w:val="Знак11"/>
    <w:basedOn w:val="Style_4"/>
    <w:link w:val="Style_43_ch"/>
    <w:pPr>
      <w:spacing w:afterAutospacing="on" w:beforeAutospacing="on"/>
      <w:ind/>
    </w:pPr>
    <w:rPr>
      <w:rFonts w:ascii="Tahoma" w:hAnsi="Tahoma"/>
    </w:rPr>
  </w:style>
  <w:style w:styleId="Style_43_ch" w:type="character">
    <w:name w:val="Знак11"/>
    <w:basedOn w:val="Style_4_ch"/>
    <w:link w:val="Style_43"/>
    <w:rPr>
      <w:rFonts w:ascii="Tahoma" w:hAnsi="Tahoma"/>
    </w:rPr>
  </w:style>
  <w:style w:styleId="Style_44" w:type="paragraph">
    <w:name w:val="Гипертекстовая ссылка"/>
    <w:link w:val="Style_44_ch"/>
    <w:rPr>
      <w:color w:val="000000"/>
      <w:sz w:val="26"/>
    </w:rPr>
  </w:style>
  <w:style w:styleId="Style_44_ch" w:type="character">
    <w:name w:val="Гипертекстовая ссылка"/>
    <w:link w:val="Style_44"/>
    <w:rPr>
      <w:color w:val="000000"/>
      <w:sz w:val="26"/>
    </w:rPr>
  </w:style>
  <w:style w:styleId="Style_45" w:type="paragraph">
    <w:name w:val="Subtitle"/>
    <w:basedOn w:val="Style_4"/>
    <w:link w:val="Style_45_ch"/>
    <w:uiPriority w:val="11"/>
    <w:qFormat/>
    <w:pPr>
      <w:spacing w:line="360" w:lineRule="auto"/>
      <w:ind/>
      <w:jc w:val="center"/>
    </w:pPr>
    <w:rPr>
      <w:b w:val="1"/>
      <w:sz w:val="26"/>
    </w:rPr>
  </w:style>
  <w:style w:styleId="Style_45_ch" w:type="character">
    <w:name w:val="Subtitle"/>
    <w:basedOn w:val="Style_4_ch"/>
    <w:link w:val="Style_45"/>
    <w:rPr>
      <w:b w:val="1"/>
      <w:sz w:val="26"/>
    </w:rPr>
  </w:style>
  <w:style w:styleId="Style_3" w:type="paragraph">
    <w:name w:val="Title"/>
    <w:basedOn w:val="Style_4"/>
    <w:link w:val="Style_3_ch"/>
    <w:uiPriority w:val="10"/>
    <w:qFormat/>
    <w:pPr>
      <w:ind/>
      <w:jc w:val="center"/>
    </w:pPr>
    <w:rPr>
      <w:sz w:val="28"/>
    </w:rPr>
  </w:style>
  <w:style w:styleId="Style_3_ch" w:type="character">
    <w:name w:val="Title"/>
    <w:basedOn w:val="Style_4_ch"/>
    <w:link w:val="Style_3"/>
    <w:rPr>
      <w:sz w:val="28"/>
    </w:rPr>
  </w:style>
  <w:style w:styleId="Style_46" w:type="paragraph">
    <w:name w:val="heading 4"/>
    <w:basedOn w:val="Style_4"/>
    <w:next w:val="Style_4"/>
    <w:link w:val="Style_46_ch"/>
    <w:uiPriority w:val="9"/>
    <w:qFormat/>
    <w:pPr>
      <w:keepNext w:val="1"/>
      <w:spacing w:after="60" w:before="240"/>
      <w:ind/>
      <w:outlineLvl w:val="3"/>
    </w:pPr>
    <w:rPr>
      <w:rFonts w:ascii="Calibri" w:hAnsi="Calibri"/>
      <w:b w:val="1"/>
      <w:sz w:val="28"/>
    </w:rPr>
  </w:style>
  <w:style w:styleId="Style_46_ch" w:type="character">
    <w:name w:val="heading 4"/>
    <w:basedOn w:val="Style_4_ch"/>
    <w:link w:val="Style_46"/>
    <w:rPr>
      <w:rFonts w:ascii="Calibri" w:hAnsi="Calibri"/>
      <w:b w:val="1"/>
      <w:sz w:val="28"/>
    </w:rPr>
  </w:style>
  <w:style w:styleId="Style_47" w:type="paragraph">
    <w:name w:val="Основной текст5"/>
    <w:basedOn w:val="Style_4"/>
    <w:link w:val="Style_47_ch"/>
    <w:pPr>
      <w:widowControl w:val="0"/>
      <w:spacing w:line="202" w:lineRule="exact"/>
      <w:ind/>
    </w:pPr>
    <w:rPr>
      <w:sz w:val="18"/>
    </w:rPr>
  </w:style>
  <w:style w:styleId="Style_47_ch" w:type="character">
    <w:name w:val="Основной текст5"/>
    <w:basedOn w:val="Style_4_ch"/>
    <w:link w:val="Style_47"/>
    <w:rPr>
      <w:sz w:val="18"/>
    </w:rPr>
  </w:style>
  <w:style w:styleId="Style_48" w:type="paragraph">
    <w:name w:val="heading 2"/>
    <w:basedOn w:val="Style_4"/>
    <w:next w:val="Style_4"/>
    <w:link w:val="Style_48_ch"/>
    <w:uiPriority w:val="9"/>
    <w:qFormat/>
    <w:pPr>
      <w:keepNext w:val="1"/>
      <w:ind w:firstLine="0" w:left="709"/>
      <w:outlineLvl w:val="1"/>
    </w:pPr>
    <w:rPr>
      <w:rFonts w:ascii="Cambria" w:hAnsi="Cambria"/>
      <w:b w:val="1"/>
      <w:i w:val="1"/>
      <w:sz w:val="28"/>
    </w:rPr>
  </w:style>
  <w:style w:styleId="Style_48_ch" w:type="character">
    <w:name w:val="heading 2"/>
    <w:basedOn w:val="Style_4_ch"/>
    <w:link w:val="Style_48"/>
    <w:rPr>
      <w:rFonts w:ascii="Cambria" w:hAnsi="Cambria"/>
      <w:b w:val="1"/>
      <w:i w:val="1"/>
      <w:sz w:val="28"/>
    </w:rPr>
  </w:style>
  <w:style w:styleId="Style_4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2023-10-06T07:38:55Z</dcterms:modified>
</cp:coreProperties>
</file>