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101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1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№185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 xml:space="preserve">»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>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5000000">
      <w:pPr>
        <w:pStyle w:val="Style_6"/>
        <w:widowControl w:val="1"/>
        <w:ind/>
        <w:jc w:val="both"/>
        <w:rPr>
          <w:b w:val="0"/>
          <w:sz w:val="28"/>
        </w:rPr>
      </w:pPr>
    </w:p>
    <w:p w14:paraId="16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ind w:firstLine="567" w:left="0"/>
        <w:jc w:val="both"/>
        <w:rPr>
          <w:sz w:val="28"/>
        </w:rPr>
      </w:pPr>
    </w:p>
    <w:p w14:paraId="21000000">
      <w:pPr>
        <w:pStyle w:val="Style_7"/>
        <w:rPr>
          <w:rFonts w:ascii="Times New Roman" w:hAnsi="Times New Roman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23.08.2023г. №101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.</w:t>
      </w:r>
    </w:p>
    <w:p w14:paraId="2C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1 062,7</w:t>
            </w:r>
          </w:p>
        </w:tc>
      </w:tr>
      <w:tr>
        <w:trPr>
          <w:trHeight w:hRule="atLeast" w:val="705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 договор на техническое обслуживание ЗТП №241 от 17.01.2023г.,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суток, </w:t>
            </w:r>
            <w:r>
              <w:rPr>
                <w:sz w:val="24"/>
              </w:rPr>
              <w:t xml:space="preserve">регулярно проводится техническое обслуживание систем уличного освещения согласно заявок (замена ламп, ремонт), проведен демонтаж системы уличного освещения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1 033,1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1 984,0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1 062,7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3000000">
      <w:pPr>
        <w:rPr>
          <w:sz w:val="26"/>
        </w:rPr>
      </w:pPr>
    </w:p>
    <w:sectPr>
      <w:footerReference r:id="rId1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"/>
    <w:basedOn w:val="Style_4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4_ch"/>
    <w:link w:val="Style_11"/>
    <w:rPr>
      <w:rFonts w:ascii="Tahoma" w:hAnsi="Tahoma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Cell"/>
    <w:link w:val="Style_15_ch"/>
    <w:rPr>
      <w:sz w:val="28"/>
    </w:rPr>
  </w:style>
  <w:style w:styleId="Style_15_ch" w:type="character">
    <w:name w:val="ConsPlusCell"/>
    <w:link w:val="Style_15"/>
    <w:rPr>
      <w:sz w:val="28"/>
    </w:rPr>
  </w:style>
  <w:style w:styleId="Style_16" w:type="paragraph">
    <w:name w:val="Normal (Web)"/>
    <w:basedOn w:val="Style_4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4_ch"/>
    <w:link w:val="Style_16"/>
    <w:rPr>
      <w:sz w:val="24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4_ch"/>
    <w:link w:val="Style_17"/>
    <w:rPr>
      <w:rFonts w:ascii="Cambria" w:hAnsi="Cambria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9" w:type="paragraph">
    <w:name w:val="Нормальный (таблица)"/>
    <w:basedOn w:val="Style_4"/>
    <w:next w:val="Style_4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4_ch"/>
    <w:link w:val="Style_19"/>
    <w:rPr>
      <w:rFonts w:ascii="Arial" w:hAnsi="Arial"/>
      <w:sz w:val="24"/>
    </w:rPr>
  </w:style>
  <w:style w:styleId="Style_20" w:type="paragraph">
    <w:name w:val="header"/>
    <w:basedOn w:val="Style_4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4_ch"/>
    <w:link w:val="Style_20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1" w:type="paragraph">
    <w:name w:val="Body Text Indent"/>
    <w:basedOn w:val="Style_4"/>
    <w:link w:val="Style_21_ch"/>
    <w:pPr>
      <w:ind w:firstLine="709" w:left="0"/>
      <w:jc w:val="both"/>
    </w:pPr>
  </w:style>
  <w:style w:styleId="Style_21_ch" w:type="character">
    <w:name w:val="Body Text Indent"/>
    <w:basedOn w:val="Style_4_ch"/>
    <w:link w:val="Style_21"/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Знак11"/>
    <w:basedOn w:val="Style_4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4_ch"/>
    <w:link w:val="Style_23"/>
    <w:rPr>
      <w:rFonts w:ascii="Tahoma" w:hAnsi="Tahoma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List Paragraph"/>
    <w:basedOn w:val="Style_4"/>
    <w:link w:val="Style_25_ch"/>
    <w:pPr>
      <w:ind w:firstLine="0" w:left="720"/>
    </w:pPr>
  </w:style>
  <w:style w:styleId="Style_25_ch" w:type="character">
    <w:name w:val="List Paragraph"/>
    <w:basedOn w:val="Style_4_ch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Гипертекстовая ссылка"/>
    <w:link w:val="Style_27_ch"/>
    <w:rPr>
      <w:color w:val="000000"/>
      <w:sz w:val="26"/>
    </w:rPr>
  </w:style>
  <w:style w:styleId="Style_27_ch" w:type="character">
    <w:name w:val="Гипертекстовая ссылка"/>
    <w:link w:val="Style_27"/>
    <w:rPr>
      <w:color w:val="000000"/>
      <w:sz w:val="26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Postan"/>
    <w:basedOn w:val="Style_4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4_ch"/>
    <w:link w:val="Style_29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0" w:type="paragraph">
    <w:name w:val="Body Text Indent 3"/>
    <w:basedOn w:val="Style_4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4_ch"/>
    <w:link w:val="Style_30"/>
    <w:rPr>
      <w:sz w:val="16"/>
    </w:rPr>
  </w:style>
  <w:style w:styleId="Style_31" w:type="paragraph">
    <w:name w:val="heading 5"/>
    <w:next w:val="Style_4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basedOn w:val="Style_4"/>
    <w:next w:val="Style_4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4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Отчетный"/>
    <w:basedOn w:val="Style_4"/>
    <w:link w:val="Style_33_ch"/>
    <w:pPr>
      <w:spacing w:after="120" w:line="360" w:lineRule="auto"/>
      <w:ind w:firstLine="720" w:left="0"/>
      <w:jc w:val="both"/>
    </w:pPr>
    <w:rPr>
      <w:sz w:val="26"/>
    </w:rPr>
  </w:style>
  <w:style w:styleId="Style_33_ch" w:type="character">
    <w:name w:val="Отчетный"/>
    <w:basedOn w:val="Style_4_ch"/>
    <w:link w:val="Style_33"/>
    <w:rPr>
      <w:sz w:val="26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4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4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4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4_ch"/>
    <w:link w:val="Style_43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4_ch"/>
    <w:link w:val="Style_44"/>
    <w:rPr>
      <w:rFonts w:ascii="Calibri" w:hAnsi="Calibri"/>
      <w:b w:val="1"/>
      <w:sz w:val="28"/>
    </w:rPr>
  </w:style>
  <w:style w:styleId="Style_45" w:type="paragraph">
    <w:name w:val="Body Text"/>
    <w:basedOn w:val="Style_4"/>
    <w:link w:val="Style_45_ch"/>
  </w:style>
  <w:style w:styleId="Style_45_ch" w:type="character">
    <w:name w:val="Body Text"/>
    <w:basedOn w:val="Style_4_ch"/>
    <w:link w:val="Style_45"/>
  </w:style>
  <w:style w:styleId="Style_46" w:type="paragraph">
    <w:name w:val="Основной текст5"/>
    <w:basedOn w:val="Style_4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4_ch"/>
    <w:link w:val="Style_46"/>
    <w:rPr>
      <w:sz w:val="18"/>
    </w:rPr>
  </w:style>
  <w:style w:styleId="Style_47" w:type="paragraph">
    <w:name w:val="Balloon Text"/>
    <w:basedOn w:val="Style_4"/>
    <w:link w:val="Style_47_ch"/>
    <w:rPr>
      <w:rFonts w:ascii="Tahoma" w:hAnsi="Tahoma"/>
      <w:sz w:val="16"/>
    </w:rPr>
  </w:style>
  <w:style w:styleId="Style_47_ch" w:type="character">
    <w:name w:val="Balloon Text"/>
    <w:basedOn w:val="Style_4_ch"/>
    <w:link w:val="Style_47"/>
    <w:rPr>
      <w:rFonts w:ascii="Tahoma" w:hAnsi="Tahoma"/>
      <w:sz w:val="16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2023-09-06T10:51:40Z</dcterms:modified>
</cp:coreProperties>
</file>